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bidi w:val="0"/>
        <w:spacing w:before="120" w:after="120"/>
        <w:jc w:val="left"/>
        <w:rPr/>
      </w:pPr>
      <w:bookmarkStart w:id="0" w:name="yui_3_17_2_1_1679689107469_227"/>
      <w:bookmarkEnd w:id="0"/>
      <w:r>
        <w:rPr/>
        <w:t>Course information</w:t>
      </w:r>
    </w:p>
    <w:p>
      <w:pPr>
        <w:pStyle w:val="TextBody"/>
        <w:bidi w:val="0"/>
        <w:spacing w:lineRule="auto" w:line="276" w:before="0" w:after="140"/>
        <w:jc w:val="left"/>
        <w:rPr/>
      </w:pPr>
      <w:r>
        <w:rPr>
          <w:rStyle w:val="StrongEmphasis"/>
        </w:rPr>
        <w:t>PHY-170-001 (General Physics II)</w:t>
      </w:r>
    </w:p>
    <w:p>
      <w:pPr>
        <w:pStyle w:val="TextBody"/>
        <w:bidi w:val="0"/>
        <w:spacing w:lineRule="auto" w:line="276" w:before="0" w:after="140"/>
        <w:jc w:val="left"/>
        <w:rPr/>
      </w:pPr>
      <w:r>
        <w:rPr>
          <w:rStyle w:val="StrongEmphasis"/>
        </w:rPr>
        <w:t xml:space="preserve">Course prerequisites: </w:t>
      </w:r>
      <w:r>
        <w:rPr/>
        <w:t>high school algebra, trigonometry, vectors and some calculus (simple differentiation and integration); physics at the level of PHY 120 (or equivalent exposure to physics) is a prerequisite</w:t>
      </w:r>
    </w:p>
    <w:p>
      <w:pPr>
        <w:pStyle w:val="TextBody"/>
        <w:bidi w:val="0"/>
        <w:spacing w:lineRule="auto" w:line="276" w:before="0" w:after="140"/>
        <w:jc w:val="left"/>
        <w:rPr/>
      </w:pPr>
      <w:r>
        <w:rPr>
          <w:rStyle w:val="StrongEmphasis"/>
        </w:rPr>
        <w:t xml:space="preserve">Instructor: </w:t>
      </w:r>
      <w:r>
        <w:rPr/>
        <w:t>Rafid Mahbub </w:t>
      </w:r>
    </w:p>
    <w:p>
      <w:pPr>
        <w:pStyle w:val="TextBody"/>
        <w:bidi w:val="0"/>
        <w:spacing w:lineRule="auto" w:line="276" w:before="0" w:after="140"/>
        <w:jc w:val="left"/>
        <w:rPr/>
      </w:pPr>
      <w:r>
        <w:rPr>
          <w:rStyle w:val="StrongEmphasis"/>
        </w:rPr>
        <w:t xml:space="preserve">Office: </w:t>
      </w:r>
      <w:r>
        <w:rPr/>
        <w:t>Olin Hall 212</w:t>
      </w:r>
    </w:p>
    <w:p>
      <w:pPr>
        <w:pStyle w:val="TextBody"/>
        <w:bidi w:val="0"/>
        <w:spacing w:lineRule="auto" w:line="276" w:before="0" w:after="140"/>
        <w:jc w:val="left"/>
        <w:rPr/>
      </w:pPr>
      <w:r>
        <w:rPr>
          <w:rStyle w:val="StrongEmphasis"/>
        </w:rPr>
        <w:t xml:space="preserve">Contact: </w:t>
      </w:r>
      <w:r>
        <w:rPr/>
        <w:t>mahbub@gustavus.edu; or talk to me after class; or drop by the office with/without notice (if I'm there)</w:t>
      </w:r>
    </w:p>
    <w:p>
      <w:pPr>
        <w:pStyle w:val="TextBody"/>
        <w:bidi w:val="0"/>
        <w:spacing w:lineRule="auto" w:line="276" w:before="0" w:after="140"/>
        <w:jc w:val="left"/>
        <w:rPr/>
      </w:pPr>
      <w:r>
        <w:rPr>
          <w:rStyle w:val="StrongEmphasis"/>
        </w:rPr>
        <w:t xml:space="preserve">Office hours: </w:t>
      </w:r>
      <w:r>
        <w:rPr/>
        <w:t>T W Th F (for an hour after lecture)</w:t>
      </w:r>
    </w:p>
    <w:p>
      <w:pPr>
        <w:pStyle w:val="TextBody"/>
        <w:bidi w:val="0"/>
        <w:spacing w:lineRule="auto" w:line="276" w:before="0" w:after="140"/>
        <w:jc w:val="left"/>
        <w:rPr/>
      </w:pPr>
      <w:r>
        <w:rPr>
          <w:rStyle w:val="StrongEmphasis"/>
        </w:rPr>
        <w:t xml:space="preserve">Lecture schedule: </w:t>
      </w:r>
      <w:r>
        <w:rPr/>
        <w:t xml:space="preserve">Lecture hours are 10:30 am to 11:20 am every </w:t>
      </w:r>
      <w:r>
        <w:rPr>
          <w:rStyle w:val="StrongEmphasis"/>
        </w:rPr>
        <w:t>Monday</w:t>
      </w:r>
      <w:r>
        <w:rPr/>
        <w:t xml:space="preserve">, </w:t>
      </w:r>
      <w:r>
        <w:rPr>
          <w:rStyle w:val="StrongEmphasis"/>
        </w:rPr>
        <w:t>Tuesday</w:t>
      </w:r>
      <w:r>
        <w:rPr/>
        <w:t xml:space="preserve">, </w:t>
      </w:r>
      <w:r>
        <w:rPr>
          <w:rStyle w:val="StrongEmphasis"/>
        </w:rPr>
        <w:t>Wednesday</w:t>
      </w:r>
      <w:r>
        <w:rPr/>
        <w:t xml:space="preserve">, </w:t>
      </w:r>
      <w:r>
        <w:rPr>
          <w:rStyle w:val="StrongEmphasis"/>
        </w:rPr>
        <w:t>Thursday</w:t>
      </w:r>
      <w:r>
        <w:rPr/>
        <w:t xml:space="preserve"> and </w:t>
      </w:r>
      <w:r>
        <w:rPr>
          <w:rStyle w:val="StrongEmphasis"/>
        </w:rPr>
        <w:t>Friday</w:t>
      </w:r>
      <w:r>
        <w:rPr/>
        <w:t xml:space="preserve"> in </w:t>
      </w:r>
      <w:r>
        <w:rPr>
          <w:rStyle w:val="StrongEmphasis"/>
          <w:u w:val="single"/>
        </w:rPr>
        <w:t>Olin Hall 103</w:t>
      </w:r>
      <w:r>
        <w:rPr/>
        <w:t xml:space="preserve">. We will use one (or two) of these lecture days, every week, as discussion-styled group work sessions where you will be solving problems involving topics covered during the week. Except for quiz weeks, group work sessions will be held every </w:t>
      </w:r>
      <w:r>
        <w:rPr>
          <w:rStyle w:val="StrongEmphasis"/>
        </w:rPr>
        <w:t>Friday</w:t>
      </w:r>
      <w:r>
        <w:rPr/>
        <w:t>.</w:t>
      </w:r>
    </w:p>
    <w:p>
      <w:pPr>
        <w:pStyle w:val="Heading4"/>
        <w:bidi w:val="0"/>
        <w:jc w:val="left"/>
        <w:rPr/>
      </w:pPr>
      <w:r>
        <w:rPr/>
        <w:t>Quiz and final exam information</w:t>
      </w:r>
    </w:p>
    <w:p>
      <w:pPr>
        <w:pStyle w:val="TextBody"/>
        <w:bidi w:val="0"/>
        <w:spacing w:lineRule="auto" w:line="276" w:before="0" w:after="140"/>
        <w:jc w:val="left"/>
        <w:rPr/>
      </w:pPr>
      <w:r>
        <w:rPr/>
        <w:t xml:space="preserve">Throughout the semester there will be four quizzes, out of which the best three attempts will contribute towards the final score, and a final exam. The quizzes will be held on </w:t>
      </w:r>
      <w:r>
        <w:rPr>
          <w:rStyle w:val="StrongEmphasis"/>
        </w:rPr>
        <w:t>Fridays</w:t>
      </w:r>
      <w:r>
        <w:rPr/>
        <w:t>. Please refer to the schedule for dates. There will be a two hour final on Saturday, May 20 from 10:30 am to 12:30 pm.</w:t>
      </w:r>
    </w:p>
    <w:p>
      <w:pPr>
        <w:pStyle w:val="Heading4"/>
        <w:bidi w:val="0"/>
        <w:jc w:val="left"/>
        <w:rPr/>
      </w:pPr>
      <w:r>
        <w:rPr/>
        <w:t>Textbooks and references</w:t>
      </w:r>
    </w:p>
    <w:p>
      <w:pPr>
        <w:pStyle w:val="TextBody"/>
        <w:bidi w:val="0"/>
        <w:rPr/>
      </w:pPr>
      <w:r>
        <w:rPr/>
        <w:t>For an introductory physics course such as this, many excellent textbooks are available. I will use the following for the course</w:t>
      </w:r>
    </w:p>
    <w:p>
      <w:pPr>
        <w:pStyle w:val="TextBody"/>
        <w:numPr>
          <w:ilvl w:val="0"/>
          <w:numId w:val="1"/>
        </w:numPr>
        <w:tabs>
          <w:tab w:val="clear" w:pos="709"/>
          <w:tab w:val="left" w:pos="707" w:leader="none"/>
        </w:tabs>
        <w:bidi w:val="0"/>
        <w:spacing w:before="0" w:after="0"/>
        <w:ind w:left="707" w:hanging="283"/>
        <w:jc w:val="left"/>
        <w:rPr/>
      </w:pPr>
      <w:hyperlink r:id="rId2">
        <w:r>
          <w:rPr>
            <w:rStyle w:val="InternetLink"/>
          </w:rPr>
          <w:t>Samuel J. Ling, Jeff Sanny, William Moebs, University Physics Vol. 2, Openstax</w:t>
        </w:r>
      </w:hyperlink>
    </w:p>
    <w:p>
      <w:pPr>
        <w:pStyle w:val="TextBody"/>
        <w:numPr>
          <w:ilvl w:val="0"/>
          <w:numId w:val="1"/>
        </w:numPr>
        <w:tabs>
          <w:tab w:val="clear" w:pos="709"/>
          <w:tab w:val="left" w:pos="707" w:leader="none"/>
        </w:tabs>
        <w:bidi w:val="0"/>
        <w:ind w:left="707" w:hanging="283"/>
        <w:jc w:val="left"/>
        <w:rPr/>
      </w:pPr>
      <w:hyperlink r:id="rId3">
        <w:r>
          <w:rPr>
            <w:rStyle w:val="InternetLink"/>
          </w:rPr>
          <w:t>Samuel J. Ling, Jeff Sanny, William Moebs, University Physics Vol. 3, Openstax</w:t>
        </w:r>
      </w:hyperlink>
    </w:p>
    <w:p>
      <w:pPr>
        <w:pStyle w:val="TextBody"/>
        <w:bidi w:val="0"/>
        <w:jc w:val="left"/>
        <w:rPr/>
      </w:pPr>
      <w:r>
        <w:rPr/>
        <w:t>Please use the clickable links to access online versions of these textbooks. These are free to use and do not require any subscriptions or fees.</w:t>
      </w:r>
    </w:p>
    <w:p>
      <w:pPr>
        <w:pStyle w:val="Heading4"/>
        <w:bidi w:val="0"/>
        <w:jc w:val="left"/>
        <w:rPr/>
      </w:pPr>
      <w:r>
        <w:rPr/>
        <w:t>Course goals and objectives</w:t>
      </w:r>
    </w:p>
    <w:p>
      <w:pPr>
        <w:pStyle w:val="TextBody"/>
        <w:bidi w:val="0"/>
        <w:spacing w:lineRule="auto" w:line="276" w:before="0" w:after="140"/>
        <w:jc w:val="left"/>
        <w:rPr/>
      </w:pPr>
      <w:r>
        <w:rPr/>
        <w:t xml:space="preserve">After the end of the course, the general expectation is that the students will have learned enough physics to describe phenomena in biology and chemistry using simple laws of physics. I use the term </w:t>
      </w:r>
      <w:r>
        <w:rPr>
          <w:rStyle w:val="Emphasis"/>
        </w:rPr>
        <w:t>simple </w:t>
      </w:r>
      <w:r>
        <w:rPr/>
        <w:t>since this is an introductory course. Despite the simplicity, the overarching goal of the course is to develop the skills necessary so that the students can describe different phenomena around them using the physics that they have learned in a simple and quantitative fashion.</w:t>
      </w:r>
    </w:p>
    <w:p>
      <w:pPr>
        <w:pStyle w:val="TextBody"/>
        <w:bidi w:val="0"/>
        <w:spacing w:lineRule="auto" w:line="276" w:before="0" w:after="140"/>
        <w:jc w:val="left"/>
        <w:rPr/>
      </w:pPr>
      <w:r>
        <w:rPr/>
        <w:t xml:space="preserve">To that end, great importance is placed on problem-solving and, more importantly, identifying effectively how certain problems can be solved. We need to bear in mind that what are termed as </w:t>
      </w:r>
      <w:r>
        <w:rPr>
          <w:rStyle w:val="Emphasis"/>
        </w:rPr>
        <w:t xml:space="preserve">problems </w:t>
      </w:r>
      <w:r>
        <w:rPr/>
        <w:t>in the context of a regular course are by no means very complicated problems. Such problems take a great deal of time to solve and this is not an international competition which measures the problem-solving skills of students. Rather, what the course, in general, will attempt to do is make you well-versed at using laws of physics (and some maths) to solve problems, making you proficient such that you are able to deal with them when they are scaled up and made more complicated.</w:t>
      </w:r>
    </w:p>
    <w:p>
      <w:pPr>
        <w:pStyle w:val="TextBody"/>
        <w:bidi w:val="0"/>
        <w:spacing w:lineRule="auto" w:line="276" w:before="0" w:after="140"/>
        <w:jc w:val="left"/>
        <w:rPr/>
      </w:pPr>
      <w:r>
        <w:rPr/>
        <w:t>It is also an expectation that, by the time the course ends, you will be able to communicate ideas and concepts regarding your physical reality in a more scientific and quantitative fashion and, maybe, with a bit of abstraction as well. </w:t>
      </w:r>
    </w:p>
    <w:p>
      <w:pPr>
        <w:pStyle w:val="TextBody"/>
        <w:bidi w:val="0"/>
        <w:spacing w:lineRule="auto" w:line="276" w:before="0" w:after="140"/>
        <w:jc w:val="left"/>
        <w:rPr/>
      </w:pPr>
      <w:r>
        <w:rPr/>
        <w:t>Since this course is aimed towards students of biology and chemistry, it is crucial that the physics is linked with these subjects in a way which appears intuitive without being overwhelming. This is not an easy task to accomplish for an introductory physics course. However, we will attempt to bridge these fields by discussing various phenomena in biology and chemistry through the lens of physics.</w:t>
      </w:r>
    </w:p>
    <w:p>
      <w:pPr>
        <w:pStyle w:val="Heading4"/>
        <w:bidi w:val="0"/>
        <w:jc w:val="left"/>
        <w:rPr/>
      </w:pPr>
      <w:r>
        <w:rPr/>
        <w:t>Grading</w:t>
      </w:r>
    </w:p>
    <w:p>
      <w:pPr>
        <w:pStyle w:val="TextBody"/>
        <w:bidi w:val="0"/>
        <w:spacing w:lineRule="auto" w:line="276" w:before="0" w:after="140"/>
        <w:jc w:val="left"/>
        <w:rPr/>
      </w:pPr>
      <w:r>
        <w:rPr/>
        <w:t>The letter grade distributions are given below. This may change in the future depending on how the class performs overall. The overall grade will be broken down as follows</w:t>
      </w:r>
    </w:p>
    <w:p>
      <w:pPr>
        <w:pStyle w:val="TextBody"/>
        <w:bidi w:val="0"/>
        <w:spacing w:lineRule="auto" w:line="276" w:before="0" w:after="140"/>
        <w:jc w:val="left"/>
        <w:rPr/>
      </w:pPr>
      <w:r>
        <w:rPr/>
        <w:t>Weekly homework: 30%</w:t>
      </w:r>
    </w:p>
    <w:p>
      <w:pPr>
        <w:pStyle w:val="TextBody"/>
        <w:bidi w:val="0"/>
        <w:spacing w:lineRule="auto" w:line="276" w:before="0" w:after="140"/>
        <w:jc w:val="left"/>
        <w:rPr/>
      </w:pPr>
      <w:r>
        <w:rPr/>
        <w:t>Quizzes: 30%</w:t>
      </w:r>
    </w:p>
    <w:p>
      <w:pPr>
        <w:pStyle w:val="TextBody"/>
        <w:bidi w:val="0"/>
        <w:spacing w:lineRule="auto" w:line="276" w:before="0" w:after="140"/>
        <w:jc w:val="left"/>
        <w:rPr/>
      </w:pPr>
      <w:r>
        <w:rPr/>
        <w:t>Final: 40%</w:t>
      </w:r>
    </w:p>
    <w:tbl>
      <w:tblPr>
        <w:tblW w:w="1036" w:type="dxa"/>
        <w:jc w:val="left"/>
        <w:tblInd w:w="28" w:type="dxa"/>
        <w:tblCellMar>
          <w:top w:w="28" w:type="dxa"/>
          <w:left w:w="28" w:type="dxa"/>
          <w:bottom w:w="28" w:type="dxa"/>
          <w:right w:w="28" w:type="dxa"/>
        </w:tblCellMar>
      </w:tblPr>
      <w:tblGrid>
        <w:gridCol w:w="301"/>
        <w:gridCol w:w="735"/>
      </w:tblGrid>
      <w:tr>
        <w:trPr>
          <w:tblHeader w:val="true"/>
        </w:trPr>
        <w:tc>
          <w:tcPr>
            <w:tcW w:w="301" w:type="dxa"/>
            <w:tcBorders/>
            <w:vAlign w:val="center"/>
          </w:tcPr>
          <w:p>
            <w:pPr>
              <w:pStyle w:val="TableHeading"/>
              <w:bidi w:val="0"/>
              <w:rPr>
                <w:b w:val="false"/>
              </w:rPr>
            </w:pPr>
            <w:r>
              <w:rPr>
                <w:b w:val="false"/>
              </w:rPr>
              <w:t>A</w:t>
            </w:r>
          </w:p>
        </w:tc>
        <w:tc>
          <w:tcPr>
            <w:tcW w:w="735" w:type="dxa"/>
            <w:tcBorders/>
            <w:vAlign w:val="center"/>
          </w:tcPr>
          <w:p>
            <w:pPr>
              <w:pStyle w:val="TableHeading"/>
              <w:bidi w:val="0"/>
              <w:rPr>
                <w:b w:val="false"/>
              </w:rPr>
            </w:pPr>
            <w:bookmarkStart w:id="1" w:name="MathJax-Element-1-Frame"/>
            <w:bookmarkStart w:id="2" w:name="MathJax-Span-3"/>
            <w:bookmarkStart w:id="3" w:name="MathJax-Span-1"/>
            <w:bookmarkStart w:id="4" w:name="MathJax-Span-2"/>
            <w:bookmarkEnd w:id="1"/>
            <w:bookmarkEnd w:id="2"/>
            <w:bookmarkEnd w:id="3"/>
            <w:bookmarkEnd w:id="4"/>
            <w:r>
              <w:rPr>
                <w:rFonts w:ascii="STIXGeneral" w:hAnsi="STIXGeneral"/>
                <w:b w:val="false"/>
              </w:rPr>
              <w:t>&gt;</w:t>
            </w:r>
            <w:bookmarkStart w:id="5" w:name="MathJax-Span-4"/>
            <w:bookmarkEnd w:id="5"/>
            <w:r>
              <w:rPr>
                <w:rFonts w:ascii="STIXGeneral" w:hAnsi="STIXGeneral"/>
                <w:b w:val="false"/>
              </w:rPr>
              <w:t>90</w:t>
            </w:r>
            <w:bookmarkStart w:id="6" w:name="MathJax-Span-5"/>
            <w:bookmarkEnd w:id="6"/>
            <w:r>
              <w:rPr>
                <w:rFonts w:ascii="STIXGeneral" w:hAnsi="STIXGeneral"/>
                <w:b w:val="false"/>
              </w:rPr>
              <w:t>%</w:t>
            </w:r>
          </w:p>
        </w:tc>
      </w:tr>
    </w:tbl>
    <w:p>
      <w:pPr>
        <w:pStyle w:val="Normal"/>
        <w:bidi w:val="0"/>
        <w:spacing w:before="0" w:after="0"/>
        <w:jc w:val="left"/>
        <w:rPr>
          <w:sz w:val="4"/>
          <w:szCs w:val="4"/>
        </w:rPr>
      </w:pPr>
      <w:r>
        <w:rPr>
          <w:sz w:val="4"/>
          <w:szCs w:val="4"/>
        </w:rPr>
      </w:r>
      <w:bookmarkStart w:id="7" w:name="yui_3_17_2_1_1679689107469_2271"/>
      <w:bookmarkStart w:id="8" w:name="yui_3_17_2_1_1679689107469_2271"/>
      <w:bookmarkEnd w:id="8"/>
    </w:p>
    <w:tbl>
      <w:tblPr>
        <w:tblW w:w="1082" w:type="dxa"/>
        <w:jc w:val="left"/>
        <w:tblInd w:w="28" w:type="dxa"/>
        <w:tblCellMar>
          <w:top w:w="28" w:type="dxa"/>
          <w:left w:w="28" w:type="dxa"/>
          <w:bottom w:w="28" w:type="dxa"/>
          <w:right w:w="28" w:type="dxa"/>
        </w:tblCellMar>
      </w:tblPr>
      <w:tblGrid>
        <w:gridCol w:w="376"/>
        <w:gridCol w:w="706"/>
      </w:tblGrid>
      <w:tr>
        <w:trPr>
          <w:tblHeader w:val="true"/>
        </w:trPr>
        <w:tc>
          <w:tcPr>
            <w:tcW w:w="376" w:type="dxa"/>
            <w:tcBorders/>
            <w:vAlign w:val="center"/>
          </w:tcPr>
          <w:p>
            <w:pPr>
              <w:pStyle w:val="TableHeading"/>
              <w:suppressLineNumbers/>
              <w:bidi w:val="0"/>
              <w:jc w:val="center"/>
              <w:rPr>
                <w:b w:val="false"/>
              </w:rPr>
            </w:pPr>
            <w:r>
              <w:rPr/>
              <w:t> </w:t>
            </w:r>
          </w:p>
        </w:tc>
        <w:tc>
          <w:tcPr>
            <w:tcW w:w="706" w:type="dxa"/>
            <w:tcBorders/>
          </w:tcPr>
          <w:p>
            <w:pPr>
              <w:pStyle w:val="TableContents"/>
              <w:bidi w:val="0"/>
              <w:jc w:val="left"/>
              <w:rPr>
                <w:sz w:val="4"/>
                <w:szCs w:val="4"/>
              </w:rPr>
            </w:pPr>
            <w:r>
              <w:rPr>
                <w:sz w:val="4"/>
                <w:szCs w:val="4"/>
              </w:rPr>
            </w:r>
          </w:p>
        </w:tc>
      </w:tr>
      <w:tr>
        <w:trPr>
          <w:tblHeader w:val="true"/>
        </w:trPr>
        <w:tc>
          <w:tcPr>
            <w:tcW w:w="376" w:type="dxa"/>
            <w:tcBorders/>
            <w:vAlign w:val="center"/>
          </w:tcPr>
          <w:p>
            <w:pPr>
              <w:pStyle w:val="TableContents"/>
              <w:suppressLineNumbers/>
              <w:bidi w:val="0"/>
              <w:jc w:val="left"/>
              <w:rPr/>
            </w:pPr>
            <w:r>
              <w:rPr/>
              <w:t>A-</w:t>
            </w:r>
          </w:p>
        </w:tc>
        <w:tc>
          <w:tcPr>
            <w:tcW w:w="706" w:type="dxa"/>
            <w:tcBorders/>
            <w:vAlign w:val="center"/>
          </w:tcPr>
          <w:p>
            <w:pPr>
              <w:pStyle w:val="TableContents"/>
              <w:suppressLineNumbers/>
              <w:bidi w:val="0"/>
              <w:jc w:val="left"/>
              <w:rPr/>
            </w:pPr>
            <w:bookmarkStart w:id="9" w:name="MathJax-Span-8"/>
            <w:bookmarkStart w:id="10" w:name="MathJax-Span-7"/>
            <w:bookmarkStart w:id="11" w:name="MathJax-Span-6"/>
            <w:bookmarkStart w:id="12" w:name="MathJax-Element-2-Frame"/>
            <w:bookmarkEnd w:id="9"/>
            <w:bookmarkEnd w:id="10"/>
            <w:bookmarkEnd w:id="11"/>
            <w:bookmarkEnd w:id="12"/>
            <w:r>
              <w:rPr/>
              <w:t>≥</w:t>
            </w:r>
            <w:bookmarkStart w:id="13" w:name="MathJax-Span-9"/>
            <w:bookmarkEnd w:id="13"/>
            <w:r>
              <w:rPr>
                <w:rFonts w:ascii="STIXGeneral" w:hAnsi="STIXGeneral"/>
              </w:rPr>
              <w:t>85</w:t>
            </w:r>
            <w:bookmarkStart w:id="14" w:name="MathJax-Span-10"/>
            <w:bookmarkEnd w:id="14"/>
            <w:r>
              <w:rPr>
                <w:rFonts w:ascii="STIXGeneral" w:hAnsi="STIXGeneral"/>
              </w:rPr>
              <w:t>%</w:t>
            </w:r>
          </w:p>
        </w:tc>
      </w:tr>
    </w:tbl>
    <w:p>
      <w:pPr>
        <w:pStyle w:val="TextBody"/>
        <w:bidi w:val="0"/>
        <w:spacing w:before="0" w:after="0"/>
        <w:jc w:val="left"/>
        <w:rPr/>
      </w:pPr>
      <w:bookmarkStart w:id="15" w:name="yui_3_17_2_1_1679689107469_2273"/>
      <w:bookmarkEnd w:id="15"/>
      <w:r>
        <w:rPr/>
        <w:t>to </w:t>
      </w:r>
      <w:bookmarkStart w:id="16" w:name="MathJax-Element-3-Frame"/>
      <w:bookmarkStart w:id="17" w:name="MathJax-Span-11"/>
      <w:bookmarkStart w:id="18" w:name="MathJax-Span-12"/>
      <w:bookmarkStart w:id="19" w:name="MathJax-Span-13"/>
      <w:bookmarkEnd w:id="16"/>
      <w:bookmarkEnd w:id="17"/>
      <w:bookmarkEnd w:id="18"/>
      <w:bookmarkEnd w:id="19"/>
      <w:r>
        <w:rPr>
          <w:rFonts w:ascii="STIXGeneral" w:hAnsi="STIXGeneral"/>
        </w:rPr>
        <w:t>&lt;</w:t>
      </w:r>
      <w:bookmarkStart w:id="20" w:name="MathJax-Span-14"/>
      <w:bookmarkEnd w:id="20"/>
      <w:r>
        <w:rPr>
          <w:rFonts w:ascii="STIXGeneral" w:hAnsi="STIXGeneral"/>
        </w:rPr>
        <w:t>90</w:t>
      </w:r>
      <w:bookmarkStart w:id="21" w:name="MathJax-Span-15"/>
      <w:bookmarkEnd w:id="21"/>
      <w:r>
        <w:rPr>
          <w:rFonts w:ascii="STIXGeneral" w:hAnsi="STIXGeneral"/>
        </w:rPr>
        <w:t>%</w:t>
      </w:r>
      <w:bookmarkStart w:id="22" w:name="yui_3_17_2_1_1679689107469_2272"/>
      <w:bookmarkEnd w:id="22"/>
    </w:p>
    <w:tbl>
      <w:tblPr>
        <w:tblW w:w="1127" w:type="dxa"/>
        <w:jc w:val="left"/>
        <w:tblInd w:w="28" w:type="dxa"/>
        <w:tblCellMar>
          <w:top w:w="28" w:type="dxa"/>
          <w:left w:w="28" w:type="dxa"/>
          <w:bottom w:w="28" w:type="dxa"/>
          <w:right w:w="28" w:type="dxa"/>
        </w:tblCellMar>
      </w:tblPr>
      <w:tblGrid>
        <w:gridCol w:w="421"/>
        <w:gridCol w:w="706"/>
      </w:tblGrid>
      <w:tr>
        <w:trPr>
          <w:tblHeader w:val="true"/>
        </w:trPr>
        <w:tc>
          <w:tcPr>
            <w:tcW w:w="421" w:type="dxa"/>
            <w:tcBorders/>
            <w:vAlign w:val="center"/>
          </w:tcPr>
          <w:p>
            <w:pPr>
              <w:pStyle w:val="TableContents"/>
              <w:suppressLineNumbers/>
              <w:bidi w:val="0"/>
              <w:jc w:val="left"/>
              <w:rPr/>
            </w:pPr>
            <w:r>
              <w:rPr/>
              <w:t> </w:t>
            </w:r>
          </w:p>
        </w:tc>
        <w:tc>
          <w:tcPr>
            <w:tcW w:w="706" w:type="dxa"/>
            <w:tcBorders/>
          </w:tcPr>
          <w:p>
            <w:pPr>
              <w:pStyle w:val="TableContents"/>
              <w:bidi w:val="0"/>
              <w:jc w:val="left"/>
              <w:rPr>
                <w:sz w:val="4"/>
                <w:szCs w:val="4"/>
              </w:rPr>
            </w:pPr>
            <w:r>
              <w:rPr>
                <w:sz w:val="4"/>
                <w:szCs w:val="4"/>
              </w:rPr>
            </w:r>
          </w:p>
        </w:tc>
      </w:tr>
      <w:tr>
        <w:trPr>
          <w:tblHeader w:val="true"/>
        </w:trPr>
        <w:tc>
          <w:tcPr>
            <w:tcW w:w="421" w:type="dxa"/>
            <w:tcBorders/>
            <w:vAlign w:val="center"/>
          </w:tcPr>
          <w:p>
            <w:pPr>
              <w:pStyle w:val="TableContents"/>
              <w:suppressLineNumbers/>
              <w:bidi w:val="0"/>
              <w:jc w:val="left"/>
              <w:rPr/>
            </w:pPr>
            <w:r>
              <w:rPr/>
              <w:t>B+</w:t>
            </w:r>
          </w:p>
        </w:tc>
        <w:tc>
          <w:tcPr>
            <w:tcW w:w="706" w:type="dxa"/>
            <w:tcBorders/>
            <w:vAlign w:val="center"/>
          </w:tcPr>
          <w:p>
            <w:pPr>
              <w:pStyle w:val="TableContents"/>
              <w:suppressLineNumbers/>
              <w:bidi w:val="0"/>
              <w:jc w:val="left"/>
              <w:rPr/>
            </w:pPr>
            <w:bookmarkStart w:id="23" w:name="MathJax-Element-4-Frame"/>
            <w:bookmarkStart w:id="24" w:name="MathJax-Span-16"/>
            <w:bookmarkStart w:id="25" w:name="MathJax-Span-17"/>
            <w:bookmarkStart w:id="26" w:name="MathJax-Span-18"/>
            <w:bookmarkEnd w:id="23"/>
            <w:bookmarkEnd w:id="24"/>
            <w:bookmarkEnd w:id="25"/>
            <w:bookmarkEnd w:id="26"/>
            <w:r>
              <w:rPr/>
              <w:t>≥</w:t>
            </w:r>
            <w:bookmarkStart w:id="27" w:name="MathJax-Span-19"/>
            <w:bookmarkEnd w:id="27"/>
            <w:r>
              <w:rPr>
                <w:rFonts w:ascii="STIXGeneral" w:hAnsi="STIXGeneral"/>
              </w:rPr>
              <w:t>80</w:t>
            </w:r>
            <w:bookmarkStart w:id="28" w:name="MathJax-Span-20"/>
            <w:bookmarkEnd w:id="28"/>
            <w:r>
              <w:rPr>
                <w:rFonts w:ascii="STIXGeneral" w:hAnsi="STIXGeneral"/>
              </w:rPr>
              <w:t>%</w:t>
            </w:r>
          </w:p>
        </w:tc>
      </w:tr>
    </w:tbl>
    <w:p>
      <w:pPr>
        <w:pStyle w:val="TextBody"/>
        <w:bidi w:val="0"/>
        <w:spacing w:before="0" w:after="0"/>
        <w:jc w:val="left"/>
        <w:rPr/>
      </w:pPr>
      <w:bookmarkStart w:id="29" w:name="yui_3_17_2_1_1679689107469_2275"/>
      <w:bookmarkEnd w:id="29"/>
      <w:r>
        <w:rPr/>
        <w:t xml:space="preserve">to </w:t>
      </w:r>
      <w:bookmarkStart w:id="30" w:name="MathJax-Element-5-Frame"/>
      <w:bookmarkStart w:id="31" w:name="MathJax-Span-23"/>
      <w:bookmarkStart w:id="32" w:name="MathJax-Span-22"/>
      <w:bookmarkStart w:id="33" w:name="MathJax-Span-21"/>
      <w:bookmarkEnd w:id="30"/>
      <w:bookmarkEnd w:id="31"/>
      <w:bookmarkEnd w:id="32"/>
      <w:bookmarkEnd w:id="33"/>
      <w:r>
        <w:rPr>
          <w:rFonts w:ascii="STIXGeneral" w:hAnsi="STIXGeneral"/>
        </w:rPr>
        <w:t>&lt;</w:t>
      </w:r>
      <w:bookmarkStart w:id="34" w:name="MathJax-Span-24"/>
      <w:bookmarkEnd w:id="34"/>
      <w:r>
        <w:rPr>
          <w:rFonts w:ascii="STIXGeneral" w:hAnsi="STIXGeneral"/>
        </w:rPr>
        <w:t>85</w:t>
      </w:r>
      <w:bookmarkStart w:id="35" w:name="MathJax-Span-25"/>
      <w:bookmarkEnd w:id="35"/>
      <w:r>
        <w:rPr>
          <w:rFonts w:ascii="STIXGeneral" w:hAnsi="STIXGeneral"/>
        </w:rPr>
        <w:t>%</w:t>
      </w:r>
      <w:bookmarkStart w:id="36" w:name="yui_3_17_2_1_1679689107469_2274"/>
      <w:bookmarkEnd w:id="36"/>
    </w:p>
    <w:tbl>
      <w:tblPr>
        <w:tblW w:w="992" w:type="dxa"/>
        <w:jc w:val="left"/>
        <w:tblInd w:w="28" w:type="dxa"/>
        <w:tblCellMar>
          <w:top w:w="28" w:type="dxa"/>
          <w:left w:w="28" w:type="dxa"/>
          <w:bottom w:w="28" w:type="dxa"/>
          <w:right w:w="28" w:type="dxa"/>
        </w:tblCellMar>
      </w:tblPr>
      <w:tblGrid>
        <w:gridCol w:w="286"/>
        <w:gridCol w:w="706"/>
      </w:tblGrid>
      <w:tr>
        <w:trPr>
          <w:tblHeader w:val="true"/>
        </w:trPr>
        <w:tc>
          <w:tcPr>
            <w:tcW w:w="286" w:type="dxa"/>
            <w:tcBorders/>
            <w:vAlign w:val="center"/>
          </w:tcPr>
          <w:p>
            <w:pPr>
              <w:pStyle w:val="TableContents"/>
              <w:bidi w:val="0"/>
              <w:jc w:val="left"/>
              <w:rPr>
                <w:sz w:val="4"/>
                <w:szCs w:val="4"/>
              </w:rPr>
            </w:pPr>
            <w:r>
              <w:rPr>
                <w:sz w:val="4"/>
                <w:szCs w:val="4"/>
              </w:rPr>
            </w:r>
          </w:p>
        </w:tc>
        <w:tc>
          <w:tcPr>
            <w:tcW w:w="706" w:type="dxa"/>
            <w:tcBorders/>
          </w:tcPr>
          <w:p>
            <w:pPr>
              <w:pStyle w:val="TableContents"/>
              <w:bidi w:val="0"/>
              <w:jc w:val="left"/>
              <w:rPr>
                <w:sz w:val="4"/>
                <w:szCs w:val="4"/>
              </w:rPr>
            </w:pPr>
            <w:r>
              <w:rPr>
                <w:sz w:val="4"/>
                <w:szCs w:val="4"/>
              </w:rPr>
            </w:r>
          </w:p>
        </w:tc>
      </w:tr>
      <w:tr>
        <w:trPr>
          <w:tblHeader w:val="true"/>
        </w:trPr>
        <w:tc>
          <w:tcPr>
            <w:tcW w:w="286" w:type="dxa"/>
            <w:tcBorders/>
            <w:vAlign w:val="center"/>
          </w:tcPr>
          <w:p>
            <w:pPr>
              <w:pStyle w:val="TableContents"/>
              <w:suppressLineNumbers/>
              <w:bidi w:val="0"/>
              <w:jc w:val="left"/>
              <w:rPr/>
            </w:pPr>
            <w:r>
              <w:rPr/>
              <w:t>B</w:t>
            </w:r>
          </w:p>
        </w:tc>
        <w:tc>
          <w:tcPr>
            <w:tcW w:w="706" w:type="dxa"/>
            <w:tcBorders/>
            <w:vAlign w:val="center"/>
          </w:tcPr>
          <w:p>
            <w:pPr>
              <w:pStyle w:val="TableContents"/>
              <w:suppressLineNumbers/>
              <w:bidi w:val="0"/>
              <w:jc w:val="left"/>
              <w:rPr/>
            </w:pPr>
            <w:bookmarkStart w:id="37" w:name="MathJax-Element-6-Frame"/>
            <w:bookmarkStart w:id="38" w:name="MathJax-Span-28"/>
            <w:bookmarkStart w:id="39" w:name="MathJax-Span-26"/>
            <w:bookmarkStart w:id="40" w:name="MathJax-Span-27"/>
            <w:bookmarkEnd w:id="37"/>
            <w:bookmarkEnd w:id="38"/>
            <w:bookmarkEnd w:id="39"/>
            <w:bookmarkEnd w:id="40"/>
            <w:r>
              <w:rPr/>
              <w:t>≥</w:t>
            </w:r>
            <w:bookmarkStart w:id="41" w:name="MathJax-Span-29"/>
            <w:bookmarkEnd w:id="41"/>
            <w:r>
              <w:rPr>
                <w:rFonts w:ascii="STIXGeneral" w:hAnsi="STIXGeneral"/>
              </w:rPr>
              <w:t>75</w:t>
            </w:r>
            <w:bookmarkStart w:id="42" w:name="MathJax-Span-30"/>
            <w:bookmarkEnd w:id="42"/>
            <w:r>
              <w:rPr>
                <w:rFonts w:ascii="STIXGeneral" w:hAnsi="STIXGeneral"/>
              </w:rPr>
              <w:t>%</w:t>
            </w:r>
          </w:p>
        </w:tc>
      </w:tr>
    </w:tbl>
    <w:p>
      <w:pPr>
        <w:pStyle w:val="TextBody"/>
        <w:bidi w:val="0"/>
        <w:spacing w:before="0" w:after="0"/>
        <w:jc w:val="left"/>
        <w:rPr/>
      </w:pPr>
      <w:bookmarkStart w:id="43" w:name="yui_3_17_2_1_1679689107469_2277"/>
      <w:bookmarkEnd w:id="43"/>
      <w:r>
        <w:rPr/>
        <w:t xml:space="preserve">to </w:t>
      </w:r>
      <w:bookmarkStart w:id="44" w:name="MathJax-Element-7-Frame"/>
      <w:bookmarkStart w:id="45" w:name="MathJax-Span-31"/>
      <w:bookmarkStart w:id="46" w:name="MathJax-Span-32"/>
      <w:bookmarkStart w:id="47" w:name="MathJax-Span-33"/>
      <w:bookmarkEnd w:id="44"/>
      <w:bookmarkEnd w:id="45"/>
      <w:bookmarkEnd w:id="46"/>
      <w:bookmarkEnd w:id="47"/>
      <w:r>
        <w:rPr>
          <w:rFonts w:ascii="STIXGeneral" w:hAnsi="STIXGeneral"/>
        </w:rPr>
        <w:t>&lt;</w:t>
      </w:r>
      <w:bookmarkStart w:id="48" w:name="MathJax-Span-34"/>
      <w:bookmarkEnd w:id="48"/>
      <w:r>
        <w:rPr>
          <w:rFonts w:ascii="STIXGeneral" w:hAnsi="STIXGeneral"/>
        </w:rPr>
        <w:t>80</w:t>
      </w:r>
      <w:bookmarkStart w:id="49" w:name="MathJax-Span-35"/>
      <w:bookmarkEnd w:id="49"/>
      <w:r>
        <w:rPr>
          <w:rFonts w:ascii="STIXGeneral" w:hAnsi="STIXGeneral"/>
        </w:rPr>
        <w:t>%</w:t>
      </w:r>
      <w:bookmarkStart w:id="50" w:name="yui_3_17_2_1_1679689107469_2276"/>
      <w:bookmarkEnd w:id="50"/>
    </w:p>
    <w:tbl>
      <w:tblPr>
        <w:tblW w:w="1067" w:type="dxa"/>
        <w:jc w:val="left"/>
        <w:tblInd w:w="28" w:type="dxa"/>
        <w:tblCellMar>
          <w:top w:w="28" w:type="dxa"/>
          <w:left w:w="28" w:type="dxa"/>
          <w:bottom w:w="28" w:type="dxa"/>
          <w:right w:w="28" w:type="dxa"/>
        </w:tblCellMar>
      </w:tblPr>
      <w:tblGrid>
        <w:gridCol w:w="361"/>
        <w:gridCol w:w="706"/>
      </w:tblGrid>
      <w:tr>
        <w:trPr>
          <w:tblHeader w:val="true"/>
        </w:trPr>
        <w:tc>
          <w:tcPr>
            <w:tcW w:w="361" w:type="dxa"/>
            <w:tcBorders/>
            <w:vAlign w:val="center"/>
          </w:tcPr>
          <w:p>
            <w:pPr>
              <w:pStyle w:val="TableContents"/>
              <w:bidi w:val="0"/>
              <w:jc w:val="left"/>
              <w:rPr>
                <w:sz w:val="4"/>
                <w:szCs w:val="4"/>
              </w:rPr>
            </w:pPr>
            <w:r>
              <w:rPr>
                <w:sz w:val="4"/>
                <w:szCs w:val="4"/>
              </w:rPr>
            </w:r>
          </w:p>
        </w:tc>
        <w:tc>
          <w:tcPr>
            <w:tcW w:w="706" w:type="dxa"/>
            <w:tcBorders/>
          </w:tcPr>
          <w:p>
            <w:pPr>
              <w:pStyle w:val="TableContents"/>
              <w:bidi w:val="0"/>
              <w:jc w:val="left"/>
              <w:rPr>
                <w:sz w:val="4"/>
                <w:szCs w:val="4"/>
              </w:rPr>
            </w:pPr>
            <w:r>
              <w:rPr>
                <w:sz w:val="4"/>
                <w:szCs w:val="4"/>
              </w:rPr>
            </w:r>
          </w:p>
        </w:tc>
      </w:tr>
      <w:tr>
        <w:trPr>
          <w:tblHeader w:val="true"/>
        </w:trPr>
        <w:tc>
          <w:tcPr>
            <w:tcW w:w="361" w:type="dxa"/>
            <w:tcBorders/>
            <w:vAlign w:val="center"/>
          </w:tcPr>
          <w:p>
            <w:pPr>
              <w:pStyle w:val="TableContents"/>
              <w:suppressLineNumbers/>
              <w:bidi w:val="0"/>
              <w:jc w:val="left"/>
              <w:rPr/>
            </w:pPr>
            <w:r>
              <w:rPr/>
              <w:t>B-</w:t>
            </w:r>
          </w:p>
        </w:tc>
        <w:tc>
          <w:tcPr>
            <w:tcW w:w="706" w:type="dxa"/>
            <w:tcBorders/>
            <w:vAlign w:val="center"/>
          </w:tcPr>
          <w:p>
            <w:pPr>
              <w:pStyle w:val="TableContents"/>
              <w:suppressLineNumbers/>
              <w:bidi w:val="0"/>
              <w:jc w:val="left"/>
              <w:rPr/>
            </w:pPr>
            <w:bookmarkStart w:id="51" w:name="MathJax-Element-8-Frame"/>
            <w:bookmarkStart w:id="52" w:name="MathJax-Span-36"/>
            <w:bookmarkStart w:id="53" w:name="MathJax-Span-37"/>
            <w:bookmarkStart w:id="54" w:name="MathJax-Span-38"/>
            <w:bookmarkEnd w:id="51"/>
            <w:bookmarkEnd w:id="52"/>
            <w:bookmarkEnd w:id="53"/>
            <w:bookmarkEnd w:id="54"/>
            <w:r>
              <w:rPr/>
              <w:t>≥</w:t>
            </w:r>
            <w:bookmarkStart w:id="55" w:name="MathJax-Span-39"/>
            <w:bookmarkEnd w:id="55"/>
            <w:r>
              <w:rPr>
                <w:rFonts w:ascii="STIXGeneral" w:hAnsi="STIXGeneral"/>
              </w:rPr>
              <w:t>70</w:t>
            </w:r>
            <w:bookmarkStart w:id="56" w:name="MathJax-Span-40"/>
            <w:bookmarkEnd w:id="56"/>
            <w:r>
              <w:rPr>
                <w:rFonts w:ascii="STIXGeneral" w:hAnsi="STIXGeneral"/>
              </w:rPr>
              <w:t>%</w:t>
            </w:r>
          </w:p>
        </w:tc>
      </w:tr>
    </w:tbl>
    <w:p>
      <w:pPr>
        <w:pStyle w:val="TextBody"/>
        <w:bidi w:val="0"/>
        <w:spacing w:before="0" w:after="0"/>
        <w:jc w:val="left"/>
        <w:rPr/>
      </w:pPr>
      <w:bookmarkStart w:id="57" w:name="yui_3_17_2_1_1679689107469_2279"/>
      <w:bookmarkEnd w:id="57"/>
      <w:r>
        <w:rPr/>
        <w:t xml:space="preserve">to </w:t>
      </w:r>
      <w:bookmarkStart w:id="58" w:name="MathJax-Element-9-Frame"/>
      <w:bookmarkStart w:id="59" w:name="MathJax-Span-41"/>
      <w:bookmarkStart w:id="60" w:name="MathJax-Span-42"/>
      <w:bookmarkStart w:id="61" w:name="MathJax-Span-43"/>
      <w:bookmarkEnd w:id="58"/>
      <w:bookmarkEnd w:id="59"/>
      <w:bookmarkEnd w:id="60"/>
      <w:bookmarkEnd w:id="61"/>
      <w:r>
        <w:rPr>
          <w:rFonts w:ascii="STIXGeneral" w:hAnsi="STIXGeneral"/>
        </w:rPr>
        <w:t>&lt;</w:t>
      </w:r>
      <w:bookmarkStart w:id="62" w:name="MathJax-Span-44"/>
      <w:bookmarkEnd w:id="62"/>
      <w:r>
        <w:rPr>
          <w:rFonts w:ascii="STIXGeneral" w:hAnsi="STIXGeneral"/>
        </w:rPr>
        <w:t>75</w:t>
      </w:r>
      <w:bookmarkStart w:id="63" w:name="MathJax-Span-45"/>
      <w:bookmarkEnd w:id="63"/>
      <w:r>
        <w:rPr>
          <w:rFonts w:ascii="STIXGeneral" w:hAnsi="STIXGeneral"/>
        </w:rPr>
        <w:t>%</w:t>
      </w:r>
      <w:bookmarkStart w:id="64" w:name="yui_3_17_2_1_1679689107469_2278"/>
      <w:bookmarkEnd w:id="64"/>
    </w:p>
    <w:tbl>
      <w:tblPr>
        <w:tblW w:w="1127" w:type="dxa"/>
        <w:jc w:val="left"/>
        <w:tblInd w:w="28" w:type="dxa"/>
        <w:tblCellMar>
          <w:top w:w="28" w:type="dxa"/>
          <w:left w:w="28" w:type="dxa"/>
          <w:bottom w:w="28" w:type="dxa"/>
          <w:right w:w="28" w:type="dxa"/>
        </w:tblCellMar>
      </w:tblPr>
      <w:tblGrid>
        <w:gridCol w:w="421"/>
        <w:gridCol w:w="706"/>
      </w:tblGrid>
      <w:tr>
        <w:trPr>
          <w:tblHeader w:val="true"/>
        </w:trPr>
        <w:tc>
          <w:tcPr>
            <w:tcW w:w="421" w:type="dxa"/>
            <w:tcBorders/>
            <w:vAlign w:val="center"/>
          </w:tcPr>
          <w:p>
            <w:pPr>
              <w:pStyle w:val="TableContents"/>
              <w:bidi w:val="0"/>
              <w:jc w:val="left"/>
              <w:rPr>
                <w:sz w:val="4"/>
                <w:szCs w:val="4"/>
              </w:rPr>
            </w:pPr>
            <w:r>
              <w:rPr>
                <w:sz w:val="4"/>
                <w:szCs w:val="4"/>
              </w:rPr>
            </w:r>
          </w:p>
        </w:tc>
        <w:tc>
          <w:tcPr>
            <w:tcW w:w="706" w:type="dxa"/>
            <w:tcBorders/>
          </w:tcPr>
          <w:p>
            <w:pPr>
              <w:pStyle w:val="TableContents"/>
              <w:bidi w:val="0"/>
              <w:jc w:val="left"/>
              <w:rPr>
                <w:sz w:val="4"/>
                <w:szCs w:val="4"/>
              </w:rPr>
            </w:pPr>
            <w:r>
              <w:rPr>
                <w:sz w:val="4"/>
                <w:szCs w:val="4"/>
              </w:rPr>
            </w:r>
          </w:p>
        </w:tc>
      </w:tr>
      <w:tr>
        <w:trPr>
          <w:tblHeader w:val="true"/>
        </w:trPr>
        <w:tc>
          <w:tcPr>
            <w:tcW w:w="421" w:type="dxa"/>
            <w:tcBorders/>
            <w:vAlign w:val="center"/>
          </w:tcPr>
          <w:p>
            <w:pPr>
              <w:pStyle w:val="TableContents"/>
              <w:suppressLineNumbers/>
              <w:bidi w:val="0"/>
              <w:jc w:val="left"/>
              <w:rPr/>
            </w:pPr>
            <w:r>
              <w:rPr/>
              <w:t>C+</w:t>
            </w:r>
          </w:p>
        </w:tc>
        <w:tc>
          <w:tcPr>
            <w:tcW w:w="706" w:type="dxa"/>
            <w:tcBorders/>
            <w:vAlign w:val="center"/>
          </w:tcPr>
          <w:p>
            <w:pPr>
              <w:pStyle w:val="TableContents"/>
              <w:suppressLineNumbers/>
              <w:bidi w:val="0"/>
              <w:jc w:val="left"/>
              <w:rPr/>
            </w:pPr>
            <w:bookmarkStart w:id="65" w:name="MathJax-Element-10-Frame"/>
            <w:bookmarkStart w:id="66" w:name="MathJax-Span-48"/>
            <w:bookmarkStart w:id="67" w:name="MathJax-Span-47"/>
            <w:bookmarkStart w:id="68" w:name="MathJax-Span-46"/>
            <w:bookmarkEnd w:id="65"/>
            <w:bookmarkEnd w:id="66"/>
            <w:bookmarkEnd w:id="67"/>
            <w:bookmarkEnd w:id="68"/>
            <w:r>
              <w:rPr/>
              <w:t>≥</w:t>
            </w:r>
            <w:bookmarkStart w:id="69" w:name="MathJax-Span-49"/>
            <w:bookmarkEnd w:id="69"/>
            <w:r>
              <w:rPr>
                <w:rFonts w:ascii="STIXGeneral" w:hAnsi="STIXGeneral"/>
              </w:rPr>
              <w:t>65</w:t>
            </w:r>
            <w:bookmarkStart w:id="70" w:name="MathJax-Span-50"/>
            <w:bookmarkEnd w:id="70"/>
            <w:r>
              <w:rPr>
                <w:rFonts w:ascii="STIXGeneral" w:hAnsi="STIXGeneral"/>
              </w:rPr>
              <w:t>%</w:t>
            </w:r>
          </w:p>
        </w:tc>
      </w:tr>
    </w:tbl>
    <w:p>
      <w:pPr>
        <w:pStyle w:val="TextBody"/>
        <w:bidi w:val="0"/>
        <w:spacing w:before="0" w:after="0"/>
        <w:jc w:val="left"/>
        <w:rPr/>
      </w:pPr>
      <w:bookmarkStart w:id="71" w:name="yui_3_17_2_1_1679689107469_22711"/>
      <w:bookmarkEnd w:id="71"/>
      <w:r>
        <w:rPr/>
        <w:t xml:space="preserve">to </w:t>
      </w:r>
      <w:bookmarkStart w:id="72" w:name="MathJax-Span-53"/>
      <w:bookmarkStart w:id="73" w:name="MathJax-Span-52"/>
      <w:bookmarkStart w:id="74" w:name="MathJax-Element-11-Frame"/>
      <w:bookmarkStart w:id="75" w:name="MathJax-Span-51"/>
      <w:bookmarkEnd w:id="72"/>
      <w:bookmarkEnd w:id="73"/>
      <w:bookmarkEnd w:id="74"/>
      <w:bookmarkEnd w:id="75"/>
      <w:r>
        <w:rPr>
          <w:rFonts w:ascii="STIXGeneral" w:hAnsi="STIXGeneral"/>
        </w:rPr>
        <w:t>&lt;</w:t>
      </w:r>
      <w:bookmarkStart w:id="76" w:name="MathJax-Span-54"/>
      <w:bookmarkEnd w:id="76"/>
      <w:r>
        <w:rPr>
          <w:rFonts w:ascii="STIXGeneral" w:hAnsi="STIXGeneral"/>
        </w:rPr>
        <w:t>70</w:t>
      </w:r>
      <w:bookmarkStart w:id="77" w:name="MathJax-Span-55"/>
      <w:bookmarkEnd w:id="77"/>
      <w:r>
        <w:rPr>
          <w:rFonts w:ascii="STIXGeneral" w:hAnsi="STIXGeneral"/>
        </w:rPr>
        <w:t>%</w:t>
      </w:r>
      <w:bookmarkStart w:id="78" w:name="yui_3_17_2_1_1679689107469_22710"/>
      <w:bookmarkEnd w:id="78"/>
    </w:p>
    <w:tbl>
      <w:tblPr>
        <w:tblW w:w="992" w:type="dxa"/>
        <w:jc w:val="left"/>
        <w:tblInd w:w="28" w:type="dxa"/>
        <w:tblCellMar>
          <w:top w:w="28" w:type="dxa"/>
          <w:left w:w="28" w:type="dxa"/>
          <w:bottom w:w="28" w:type="dxa"/>
          <w:right w:w="28" w:type="dxa"/>
        </w:tblCellMar>
      </w:tblPr>
      <w:tblGrid>
        <w:gridCol w:w="286"/>
        <w:gridCol w:w="706"/>
      </w:tblGrid>
      <w:tr>
        <w:trPr>
          <w:tblHeader w:val="true"/>
        </w:trPr>
        <w:tc>
          <w:tcPr>
            <w:tcW w:w="286" w:type="dxa"/>
            <w:tcBorders/>
            <w:vAlign w:val="center"/>
          </w:tcPr>
          <w:p>
            <w:pPr>
              <w:pStyle w:val="TableContents"/>
              <w:bidi w:val="0"/>
              <w:jc w:val="left"/>
              <w:rPr>
                <w:sz w:val="4"/>
                <w:szCs w:val="4"/>
              </w:rPr>
            </w:pPr>
            <w:r>
              <w:rPr>
                <w:sz w:val="4"/>
                <w:szCs w:val="4"/>
              </w:rPr>
            </w:r>
          </w:p>
        </w:tc>
        <w:tc>
          <w:tcPr>
            <w:tcW w:w="706" w:type="dxa"/>
            <w:tcBorders/>
          </w:tcPr>
          <w:p>
            <w:pPr>
              <w:pStyle w:val="TableContents"/>
              <w:bidi w:val="0"/>
              <w:jc w:val="left"/>
              <w:rPr>
                <w:sz w:val="4"/>
                <w:szCs w:val="4"/>
              </w:rPr>
            </w:pPr>
            <w:r>
              <w:rPr>
                <w:sz w:val="4"/>
                <w:szCs w:val="4"/>
              </w:rPr>
            </w:r>
          </w:p>
        </w:tc>
      </w:tr>
      <w:tr>
        <w:trPr>
          <w:tblHeader w:val="true"/>
        </w:trPr>
        <w:tc>
          <w:tcPr>
            <w:tcW w:w="286" w:type="dxa"/>
            <w:tcBorders/>
            <w:vAlign w:val="center"/>
          </w:tcPr>
          <w:p>
            <w:pPr>
              <w:pStyle w:val="TableContents"/>
              <w:suppressLineNumbers/>
              <w:bidi w:val="0"/>
              <w:jc w:val="left"/>
              <w:rPr/>
            </w:pPr>
            <w:r>
              <w:rPr/>
              <w:t>C</w:t>
            </w:r>
          </w:p>
        </w:tc>
        <w:tc>
          <w:tcPr>
            <w:tcW w:w="706" w:type="dxa"/>
            <w:tcBorders/>
            <w:vAlign w:val="center"/>
          </w:tcPr>
          <w:p>
            <w:pPr>
              <w:pStyle w:val="TableContents"/>
              <w:suppressLineNumbers/>
              <w:bidi w:val="0"/>
              <w:jc w:val="left"/>
              <w:rPr/>
            </w:pPr>
            <w:bookmarkStart w:id="79" w:name="MathJax-Element-12-Frame"/>
            <w:bookmarkStart w:id="80" w:name="MathJax-Span-56"/>
            <w:bookmarkStart w:id="81" w:name="MathJax-Span-57"/>
            <w:bookmarkStart w:id="82" w:name="MathJax-Span-58"/>
            <w:bookmarkEnd w:id="79"/>
            <w:bookmarkEnd w:id="80"/>
            <w:bookmarkEnd w:id="81"/>
            <w:bookmarkEnd w:id="82"/>
            <w:r>
              <w:rPr/>
              <w:t>≥</w:t>
            </w:r>
            <w:bookmarkStart w:id="83" w:name="MathJax-Span-59"/>
            <w:bookmarkEnd w:id="83"/>
            <w:r>
              <w:rPr>
                <w:rFonts w:ascii="STIXGeneral" w:hAnsi="STIXGeneral"/>
              </w:rPr>
              <w:t>60</w:t>
            </w:r>
            <w:bookmarkStart w:id="84" w:name="MathJax-Span-60"/>
            <w:bookmarkEnd w:id="84"/>
            <w:r>
              <w:rPr>
                <w:rFonts w:ascii="STIXGeneral" w:hAnsi="STIXGeneral"/>
              </w:rPr>
              <w:t>%</w:t>
            </w:r>
          </w:p>
        </w:tc>
      </w:tr>
    </w:tbl>
    <w:p>
      <w:pPr>
        <w:pStyle w:val="TextBody"/>
        <w:bidi w:val="0"/>
        <w:spacing w:before="0" w:after="0"/>
        <w:jc w:val="left"/>
        <w:rPr/>
      </w:pPr>
      <w:bookmarkStart w:id="85" w:name="yui_3_17_2_1_1679689107469_22713"/>
      <w:bookmarkEnd w:id="85"/>
      <w:r>
        <w:rPr/>
        <w:t xml:space="preserve">to </w:t>
      </w:r>
      <w:bookmarkStart w:id="86" w:name="MathJax-Element-13-Frame"/>
      <w:bookmarkStart w:id="87" w:name="MathJax-Span-63"/>
      <w:bookmarkStart w:id="88" w:name="MathJax-Span-62"/>
      <w:bookmarkStart w:id="89" w:name="MathJax-Span-61"/>
      <w:bookmarkEnd w:id="86"/>
      <w:bookmarkEnd w:id="87"/>
      <w:bookmarkEnd w:id="88"/>
      <w:bookmarkEnd w:id="89"/>
      <w:r>
        <w:rPr>
          <w:rFonts w:ascii="STIXGeneral" w:hAnsi="STIXGeneral"/>
        </w:rPr>
        <w:t>&lt;</w:t>
      </w:r>
      <w:bookmarkStart w:id="90" w:name="MathJax-Span-64"/>
      <w:bookmarkEnd w:id="90"/>
      <w:r>
        <w:rPr>
          <w:rFonts w:ascii="STIXGeneral" w:hAnsi="STIXGeneral"/>
        </w:rPr>
        <w:t>65</w:t>
      </w:r>
      <w:bookmarkStart w:id="91" w:name="MathJax-Span-65"/>
      <w:bookmarkEnd w:id="91"/>
      <w:r>
        <w:rPr>
          <w:rFonts w:ascii="STIXGeneral" w:hAnsi="STIXGeneral"/>
        </w:rPr>
        <w:t>%</w:t>
      </w:r>
      <w:bookmarkStart w:id="92" w:name="yui_3_17_2_1_1679689107469_22712"/>
      <w:bookmarkEnd w:id="92"/>
    </w:p>
    <w:tbl>
      <w:tblPr>
        <w:tblW w:w="1067" w:type="dxa"/>
        <w:jc w:val="left"/>
        <w:tblInd w:w="28" w:type="dxa"/>
        <w:tblCellMar>
          <w:top w:w="28" w:type="dxa"/>
          <w:left w:w="28" w:type="dxa"/>
          <w:bottom w:w="28" w:type="dxa"/>
          <w:right w:w="28" w:type="dxa"/>
        </w:tblCellMar>
      </w:tblPr>
      <w:tblGrid>
        <w:gridCol w:w="361"/>
        <w:gridCol w:w="706"/>
      </w:tblGrid>
      <w:tr>
        <w:trPr>
          <w:tblHeader w:val="true"/>
        </w:trPr>
        <w:tc>
          <w:tcPr>
            <w:tcW w:w="361" w:type="dxa"/>
            <w:tcBorders/>
            <w:vAlign w:val="center"/>
          </w:tcPr>
          <w:p>
            <w:pPr>
              <w:pStyle w:val="TableContents"/>
              <w:bidi w:val="0"/>
              <w:jc w:val="left"/>
              <w:rPr>
                <w:sz w:val="4"/>
                <w:szCs w:val="4"/>
              </w:rPr>
            </w:pPr>
            <w:r>
              <w:rPr>
                <w:sz w:val="4"/>
                <w:szCs w:val="4"/>
              </w:rPr>
            </w:r>
          </w:p>
        </w:tc>
        <w:tc>
          <w:tcPr>
            <w:tcW w:w="706" w:type="dxa"/>
            <w:tcBorders/>
          </w:tcPr>
          <w:p>
            <w:pPr>
              <w:pStyle w:val="TableContents"/>
              <w:bidi w:val="0"/>
              <w:jc w:val="left"/>
              <w:rPr>
                <w:sz w:val="4"/>
                <w:szCs w:val="4"/>
              </w:rPr>
            </w:pPr>
            <w:r>
              <w:rPr>
                <w:sz w:val="4"/>
                <w:szCs w:val="4"/>
              </w:rPr>
            </w:r>
          </w:p>
        </w:tc>
      </w:tr>
      <w:tr>
        <w:trPr>
          <w:tblHeader w:val="true"/>
        </w:trPr>
        <w:tc>
          <w:tcPr>
            <w:tcW w:w="361" w:type="dxa"/>
            <w:tcBorders/>
            <w:vAlign w:val="center"/>
          </w:tcPr>
          <w:p>
            <w:pPr>
              <w:pStyle w:val="TableContents"/>
              <w:suppressLineNumbers/>
              <w:bidi w:val="0"/>
              <w:jc w:val="left"/>
              <w:rPr/>
            </w:pPr>
            <w:r>
              <w:rPr/>
              <w:t>C-</w:t>
            </w:r>
          </w:p>
        </w:tc>
        <w:tc>
          <w:tcPr>
            <w:tcW w:w="706" w:type="dxa"/>
            <w:tcBorders/>
            <w:vAlign w:val="center"/>
          </w:tcPr>
          <w:p>
            <w:pPr>
              <w:pStyle w:val="TableContents"/>
              <w:suppressLineNumbers/>
              <w:bidi w:val="0"/>
              <w:jc w:val="left"/>
              <w:rPr/>
            </w:pPr>
            <w:bookmarkStart w:id="93" w:name="MathJax-Span-68"/>
            <w:bookmarkStart w:id="94" w:name="MathJax-Span-66"/>
            <w:bookmarkStart w:id="95" w:name="MathJax-Element-14-Frame"/>
            <w:bookmarkStart w:id="96" w:name="MathJax-Span-67"/>
            <w:bookmarkEnd w:id="93"/>
            <w:bookmarkEnd w:id="94"/>
            <w:bookmarkEnd w:id="95"/>
            <w:bookmarkEnd w:id="96"/>
            <w:r>
              <w:rPr/>
              <w:t>≥</w:t>
            </w:r>
            <w:bookmarkStart w:id="97" w:name="MathJax-Span-69"/>
            <w:bookmarkEnd w:id="97"/>
            <w:r>
              <w:rPr>
                <w:rFonts w:ascii="STIXGeneral" w:hAnsi="STIXGeneral"/>
              </w:rPr>
              <w:t>55</w:t>
            </w:r>
            <w:bookmarkStart w:id="98" w:name="MathJax-Span-70"/>
            <w:bookmarkEnd w:id="98"/>
            <w:r>
              <w:rPr>
                <w:rFonts w:ascii="STIXGeneral" w:hAnsi="STIXGeneral"/>
              </w:rPr>
              <w:t>%</w:t>
            </w:r>
          </w:p>
        </w:tc>
      </w:tr>
    </w:tbl>
    <w:p>
      <w:pPr>
        <w:pStyle w:val="TextBody"/>
        <w:bidi w:val="0"/>
        <w:spacing w:before="0" w:after="0"/>
        <w:jc w:val="left"/>
        <w:rPr/>
      </w:pPr>
      <w:bookmarkStart w:id="99" w:name="yui_3_17_2_1_1679689107469_22715"/>
      <w:bookmarkEnd w:id="99"/>
      <w:r>
        <w:rPr/>
        <w:t xml:space="preserve">to </w:t>
      </w:r>
      <w:bookmarkStart w:id="100" w:name="MathJax-Element-15-Frame"/>
      <w:bookmarkStart w:id="101" w:name="MathJax-Span-71"/>
      <w:bookmarkStart w:id="102" w:name="MathJax-Span-72"/>
      <w:bookmarkStart w:id="103" w:name="MathJax-Span-73"/>
      <w:bookmarkEnd w:id="100"/>
      <w:bookmarkEnd w:id="101"/>
      <w:bookmarkEnd w:id="102"/>
      <w:bookmarkEnd w:id="103"/>
      <w:r>
        <w:rPr>
          <w:rFonts w:ascii="STIXGeneral" w:hAnsi="STIXGeneral"/>
        </w:rPr>
        <w:t>&lt;</w:t>
      </w:r>
      <w:bookmarkStart w:id="104" w:name="MathJax-Span-74"/>
      <w:bookmarkEnd w:id="104"/>
      <w:r>
        <w:rPr>
          <w:rFonts w:ascii="STIXGeneral" w:hAnsi="STIXGeneral"/>
        </w:rPr>
        <w:t>60</w:t>
      </w:r>
      <w:bookmarkStart w:id="105" w:name="MathJax-Span-75"/>
      <w:bookmarkEnd w:id="105"/>
      <w:r>
        <w:rPr>
          <w:rFonts w:ascii="STIXGeneral" w:hAnsi="STIXGeneral"/>
        </w:rPr>
        <w:t>%</w:t>
      </w:r>
      <w:bookmarkStart w:id="106" w:name="yui_3_17_2_1_1679689107469_22714"/>
      <w:bookmarkEnd w:id="106"/>
    </w:p>
    <w:tbl>
      <w:tblPr>
        <w:tblW w:w="1142" w:type="dxa"/>
        <w:jc w:val="left"/>
        <w:tblInd w:w="28" w:type="dxa"/>
        <w:tblCellMar>
          <w:top w:w="28" w:type="dxa"/>
          <w:left w:w="28" w:type="dxa"/>
          <w:bottom w:w="28" w:type="dxa"/>
          <w:right w:w="28" w:type="dxa"/>
        </w:tblCellMar>
      </w:tblPr>
      <w:tblGrid>
        <w:gridCol w:w="436"/>
        <w:gridCol w:w="706"/>
      </w:tblGrid>
      <w:tr>
        <w:trPr>
          <w:tblHeader w:val="true"/>
        </w:trPr>
        <w:tc>
          <w:tcPr>
            <w:tcW w:w="436" w:type="dxa"/>
            <w:tcBorders/>
            <w:vAlign w:val="center"/>
          </w:tcPr>
          <w:p>
            <w:pPr>
              <w:pStyle w:val="TableContents"/>
              <w:bidi w:val="0"/>
              <w:jc w:val="left"/>
              <w:rPr>
                <w:sz w:val="4"/>
                <w:szCs w:val="4"/>
              </w:rPr>
            </w:pPr>
            <w:r>
              <w:rPr>
                <w:sz w:val="4"/>
                <w:szCs w:val="4"/>
              </w:rPr>
            </w:r>
          </w:p>
        </w:tc>
        <w:tc>
          <w:tcPr>
            <w:tcW w:w="706" w:type="dxa"/>
            <w:tcBorders/>
          </w:tcPr>
          <w:p>
            <w:pPr>
              <w:pStyle w:val="TableContents"/>
              <w:bidi w:val="0"/>
              <w:jc w:val="left"/>
              <w:rPr>
                <w:sz w:val="4"/>
                <w:szCs w:val="4"/>
              </w:rPr>
            </w:pPr>
            <w:r>
              <w:rPr>
                <w:sz w:val="4"/>
                <w:szCs w:val="4"/>
              </w:rPr>
            </w:r>
          </w:p>
        </w:tc>
      </w:tr>
      <w:tr>
        <w:trPr>
          <w:tblHeader w:val="true"/>
        </w:trPr>
        <w:tc>
          <w:tcPr>
            <w:tcW w:w="436" w:type="dxa"/>
            <w:tcBorders/>
            <w:vAlign w:val="center"/>
          </w:tcPr>
          <w:p>
            <w:pPr>
              <w:pStyle w:val="TableContents"/>
              <w:suppressLineNumbers/>
              <w:bidi w:val="0"/>
              <w:jc w:val="left"/>
              <w:rPr/>
            </w:pPr>
            <w:r>
              <w:rPr/>
              <w:t>D+</w:t>
            </w:r>
          </w:p>
        </w:tc>
        <w:tc>
          <w:tcPr>
            <w:tcW w:w="706" w:type="dxa"/>
            <w:tcBorders/>
            <w:vAlign w:val="center"/>
          </w:tcPr>
          <w:p>
            <w:pPr>
              <w:pStyle w:val="TableContents"/>
              <w:suppressLineNumbers/>
              <w:bidi w:val="0"/>
              <w:jc w:val="left"/>
              <w:rPr/>
            </w:pPr>
            <w:bookmarkStart w:id="107" w:name="MathJax-Element-16-Frame"/>
            <w:bookmarkStart w:id="108" w:name="MathJax-Span-76"/>
            <w:bookmarkStart w:id="109" w:name="MathJax-Span-77"/>
            <w:bookmarkStart w:id="110" w:name="MathJax-Span-78"/>
            <w:bookmarkEnd w:id="107"/>
            <w:bookmarkEnd w:id="108"/>
            <w:bookmarkEnd w:id="109"/>
            <w:bookmarkEnd w:id="110"/>
            <w:r>
              <w:rPr/>
              <w:t>≥</w:t>
            </w:r>
            <w:bookmarkStart w:id="111" w:name="MathJax-Span-79"/>
            <w:bookmarkEnd w:id="111"/>
            <w:r>
              <w:rPr>
                <w:rFonts w:ascii="STIXGeneral" w:hAnsi="STIXGeneral"/>
              </w:rPr>
              <w:t>50</w:t>
            </w:r>
            <w:bookmarkStart w:id="112" w:name="MathJax-Span-80"/>
            <w:bookmarkEnd w:id="112"/>
            <w:r>
              <w:rPr>
                <w:rFonts w:ascii="STIXGeneral" w:hAnsi="STIXGeneral"/>
              </w:rPr>
              <w:t>%</w:t>
            </w:r>
          </w:p>
        </w:tc>
      </w:tr>
    </w:tbl>
    <w:p>
      <w:pPr>
        <w:pStyle w:val="TextBody"/>
        <w:bidi w:val="0"/>
        <w:spacing w:before="0" w:after="0"/>
        <w:jc w:val="left"/>
        <w:rPr/>
      </w:pPr>
      <w:bookmarkStart w:id="113" w:name="yui_3_17_2_1_1679689107469_22717"/>
      <w:bookmarkEnd w:id="113"/>
      <w:r>
        <w:rPr/>
        <w:t xml:space="preserve">to </w:t>
      </w:r>
      <w:bookmarkStart w:id="114" w:name="MathJax-Element-17-Frame"/>
      <w:bookmarkStart w:id="115" w:name="MathJax-Span-81"/>
      <w:bookmarkStart w:id="116" w:name="MathJax-Span-82"/>
      <w:bookmarkStart w:id="117" w:name="MathJax-Span-83"/>
      <w:bookmarkEnd w:id="114"/>
      <w:bookmarkEnd w:id="115"/>
      <w:bookmarkEnd w:id="116"/>
      <w:bookmarkEnd w:id="117"/>
      <w:r>
        <w:rPr>
          <w:rFonts w:ascii="STIXGeneral" w:hAnsi="STIXGeneral"/>
        </w:rPr>
        <w:t>&lt;</w:t>
      </w:r>
      <w:bookmarkStart w:id="118" w:name="MathJax-Span-84"/>
      <w:bookmarkEnd w:id="118"/>
      <w:r>
        <w:rPr>
          <w:rFonts w:ascii="STIXGeneral" w:hAnsi="STIXGeneral"/>
        </w:rPr>
        <w:t>55</w:t>
      </w:r>
      <w:bookmarkStart w:id="119" w:name="MathJax-Span-85"/>
      <w:bookmarkEnd w:id="119"/>
      <w:r>
        <w:rPr>
          <w:rFonts w:ascii="STIXGeneral" w:hAnsi="STIXGeneral"/>
        </w:rPr>
        <w:t>%</w:t>
      </w:r>
      <w:bookmarkStart w:id="120" w:name="yui_3_17_2_1_1679689107469_22716"/>
      <w:bookmarkEnd w:id="120"/>
    </w:p>
    <w:tbl>
      <w:tblPr>
        <w:tblW w:w="1007" w:type="dxa"/>
        <w:jc w:val="left"/>
        <w:tblInd w:w="28" w:type="dxa"/>
        <w:tblCellMar>
          <w:top w:w="28" w:type="dxa"/>
          <w:left w:w="28" w:type="dxa"/>
          <w:bottom w:w="28" w:type="dxa"/>
          <w:right w:w="28" w:type="dxa"/>
        </w:tblCellMar>
      </w:tblPr>
      <w:tblGrid>
        <w:gridCol w:w="301"/>
        <w:gridCol w:w="706"/>
      </w:tblGrid>
      <w:tr>
        <w:trPr>
          <w:tblHeader w:val="true"/>
        </w:trPr>
        <w:tc>
          <w:tcPr>
            <w:tcW w:w="301" w:type="dxa"/>
            <w:tcBorders/>
            <w:vAlign w:val="center"/>
          </w:tcPr>
          <w:p>
            <w:pPr>
              <w:pStyle w:val="TableContents"/>
              <w:bidi w:val="0"/>
              <w:jc w:val="left"/>
              <w:rPr>
                <w:sz w:val="4"/>
                <w:szCs w:val="4"/>
              </w:rPr>
            </w:pPr>
            <w:r>
              <w:rPr>
                <w:sz w:val="4"/>
                <w:szCs w:val="4"/>
              </w:rPr>
            </w:r>
          </w:p>
        </w:tc>
        <w:tc>
          <w:tcPr>
            <w:tcW w:w="706" w:type="dxa"/>
            <w:tcBorders/>
          </w:tcPr>
          <w:p>
            <w:pPr>
              <w:pStyle w:val="TableContents"/>
              <w:bidi w:val="0"/>
              <w:jc w:val="left"/>
              <w:rPr>
                <w:sz w:val="4"/>
                <w:szCs w:val="4"/>
              </w:rPr>
            </w:pPr>
            <w:r>
              <w:rPr>
                <w:sz w:val="4"/>
                <w:szCs w:val="4"/>
              </w:rPr>
            </w:r>
          </w:p>
        </w:tc>
      </w:tr>
      <w:tr>
        <w:trPr>
          <w:tblHeader w:val="true"/>
        </w:trPr>
        <w:tc>
          <w:tcPr>
            <w:tcW w:w="301" w:type="dxa"/>
            <w:tcBorders/>
            <w:vAlign w:val="center"/>
          </w:tcPr>
          <w:p>
            <w:pPr>
              <w:pStyle w:val="TableContents"/>
              <w:suppressLineNumbers/>
              <w:bidi w:val="0"/>
              <w:jc w:val="left"/>
              <w:rPr/>
            </w:pPr>
            <w:r>
              <w:rPr/>
              <w:t>D</w:t>
            </w:r>
          </w:p>
        </w:tc>
        <w:tc>
          <w:tcPr>
            <w:tcW w:w="706" w:type="dxa"/>
            <w:tcBorders/>
            <w:vAlign w:val="center"/>
          </w:tcPr>
          <w:p>
            <w:pPr>
              <w:pStyle w:val="TableContents"/>
              <w:suppressLineNumbers/>
              <w:bidi w:val="0"/>
              <w:jc w:val="left"/>
              <w:rPr/>
            </w:pPr>
            <w:bookmarkStart w:id="121" w:name="MathJax-Element-18-Frame"/>
            <w:bookmarkStart w:id="122" w:name="MathJax-Span-88"/>
            <w:bookmarkStart w:id="123" w:name="MathJax-Span-87"/>
            <w:bookmarkStart w:id="124" w:name="MathJax-Span-86"/>
            <w:bookmarkEnd w:id="121"/>
            <w:bookmarkEnd w:id="122"/>
            <w:bookmarkEnd w:id="123"/>
            <w:bookmarkEnd w:id="124"/>
            <w:r>
              <w:rPr/>
              <w:t>≥</w:t>
            </w:r>
            <w:bookmarkStart w:id="125" w:name="MathJax-Span-89"/>
            <w:bookmarkEnd w:id="125"/>
            <w:r>
              <w:rPr>
                <w:rFonts w:ascii="STIXGeneral" w:hAnsi="STIXGeneral"/>
              </w:rPr>
              <w:t>45</w:t>
            </w:r>
            <w:bookmarkStart w:id="126" w:name="MathJax-Span-90"/>
            <w:bookmarkEnd w:id="126"/>
            <w:r>
              <w:rPr>
                <w:rFonts w:ascii="STIXGeneral" w:hAnsi="STIXGeneral"/>
              </w:rPr>
              <w:t>%</w:t>
            </w:r>
          </w:p>
        </w:tc>
      </w:tr>
    </w:tbl>
    <w:p>
      <w:pPr>
        <w:pStyle w:val="TextBody"/>
        <w:bidi w:val="0"/>
        <w:spacing w:before="0" w:after="0"/>
        <w:jc w:val="left"/>
        <w:rPr/>
      </w:pPr>
      <w:bookmarkStart w:id="127" w:name="yui_3_17_2_1_1679689107469_22719"/>
      <w:bookmarkEnd w:id="127"/>
      <w:r>
        <w:rPr/>
        <w:t xml:space="preserve">to </w:t>
      </w:r>
      <w:bookmarkStart w:id="128" w:name="MathJax-Span-93"/>
      <w:bookmarkStart w:id="129" w:name="MathJax-Span-92"/>
      <w:bookmarkStart w:id="130" w:name="MathJax-Element-19-Frame"/>
      <w:bookmarkStart w:id="131" w:name="MathJax-Span-91"/>
      <w:bookmarkEnd w:id="128"/>
      <w:bookmarkEnd w:id="129"/>
      <w:bookmarkEnd w:id="130"/>
      <w:bookmarkEnd w:id="131"/>
      <w:r>
        <w:rPr>
          <w:rFonts w:ascii="STIXGeneral" w:hAnsi="STIXGeneral"/>
        </w:rPr>
        <w:t>&lt;</w:t>
      </w:r>
      <w:bookmarkStart w:id="132" w:name="MathJax-Span-94"/>
      <w:bookmarkEnd w:id="132"/>
      <w:r>
        <w:rPr>
          <w:rFonts w:ascii="STIXGeneral" w:hAnsi="STIXGeneral"/>
        </w:rPr>
        <w:t>50</w:t>
      </w:r>
      <w:bookmarkStart w:id="133" w:name="MathJax-Span-95"/>
      <w:bookmarkEnd w:id="133"/>
      <w:r>
        <w:rPr>
          <w:rFonts w:ascii="STIXGeneral" w:hAnsi="STIXGeneral"/>
        </w:rPr>
        <w:t>%</w:t>
      </w:r>
      <w:bookmarkStart w:id="134" w:name="yui_3_17_2_1_1679689107469_22718"/>
      <w:bookmarkEnd w:id="134"/>
    </w:p>
    <w:tbl>
      <w:tblPr>
        <w:tblW w:w="991" w:type="dxa"/>
        <w:jc w:val="left"/>
        <w:tblInd w:w="28" w:type="dxa"/>
        <w:tblCellMar>
          <w:top w:w="28" w:type="dxa"/>
          <w:left w:w="28" w:type="dxa"/>
          <w:bottom w:w="28" w:type="dxa"/>
          <w:right w:w="28" w:type="dxa"/>
        </w:tblCellMar>
      </w:tblPr>
      <w:tblGrid>
        <w:gridCol w:w="256"/>
        <w:gridCol w:w="735"/>
      </w:tblGrid>
      <w:tr>
        <w:trPr>
          <w:tblHeader w:val="true"/>
        </w:trPr>
        <w:tc>
          <w:tcPr>
            <w:tcW w:w="256" w:type="dxa"/>
            <w:tcBorders/>
            <w:vAlign w:val="center"/>
          </w:tcPr>
          <w:p>
            <w:pPr>
              <w:pStyle w:val="TableContents"/>
              <w:bidi w:val="0"/>
              <w:jc w:val="left"/>
              <w:rPr>
                <w:sz w:val="4"/>
                <w:szCs w:val="4"/>
              </w:rPr>
            </w:pPr>
            <w:r>
              <w:rPr>
                <w:sz w:val="4"/>
                <w:szCs w:val="4"/>
              </w:rPr>
            </w:r>
          </w:p>
        </w:tc>
        <w:tc>
          <w:tcPr>
            <w:tcW w:w="735" w:type="dxa"/>
            <w:tcBorders/>
          </w:tcPr>
          <w:p>
            <w:pPr>
              <w:pStyle w:val="TableContents"/>
              <w:bidi w:val="0"/>
              <w:jc w:val="left"/>
              <w:rPr>
                <w:sz w:val="4"/>
                <w:szCs w:val="4"/>
              </w:rPr>
            </w:pPr>
            <w:r>
              <w:rPr>
                <w:sz w:val="4"/>
                <w:szCs w:val="4"/>
              </w:rPr>
            </w:r>
          </w:p>
        </w:tc>
      </w:tr>
      <w:tr>
        <w:trPr>
          <w:tblHeader w:val="true"/>
        </w:trPr>
        <w:tc>
          <w:tcPr>
            <w:tcW w:w="256" w:type="dxa"/>
            <w:tcBorders/>
            <w:vAlign w:val="center"/>
          </w:tcPr>
          <w:p>
            <w:pPr>
              <w:pStyle w:val="TableContents"/>
              <w:suppressLineNumbers/>
              <w:bidi w:val="0"/>
              <w:jc w:val="left"/>
              <w:rPr/>
            </w:pPr>
            <w:r>
              <w:rPr/>
              <w:t>F</w:t>
            </w:r>
          </w:p>
        </w:tc>
        <w:tc>
          <w:tcPr>
            <w:tcW w:w="735" w:type="dxa"/>
            <w:tcBorders/>
            <w:vAlign w:val="center"/>
          </w:tcPr>
          <w:p>
            <w:pPr>
              <w:pStyle w:val="TableContents"/>
              <w:suppressLineNumbers/>
              <w:bidi w:val="0"/>
              <w:jc w:val="left"/>
              <w:rPr/>
            </w:pPr>
            <w:bookmarkStart w:id="135" w:name="MathJax-Element-20-Frame"/>
            <w:bookmarkStart w:id="136" w:name="MathJax-Span-96"/>
            <w:bookmarkStart w:id="137" w:name="MathJax-Span-97"/>
            <w:bookmarkStart w:id="138" w:name="MathJax-Span-98"/>
            <w:bookmarkEnd w:id="135"/>
            <w:bookmarkEnd w:id="136"/>
            <w:bookmarkEnd w:id="137"/>
            <w:bookmarkEnd w:id="138"/>
            <w:r>
              <w:rPr>
                <w:rFonts w:ascii="STIXGeneral" w:hAnsi="STIXGeneral"/>
              </w:rPr>
              <w:t>&lt;</w:t>
            </w:r>
            <w:bookmarkStart w:id="139" w:name="MathJax-Span-99"/>
            <w:bookmarkEnd w:id="139"/>
            <w:r>
              <w:rPr>
                <w:rFonts w:ascii="STIXGeneral" w:hAnsi="STIXGeneral"/>
              </w:rPr>
              <w:t>45</w:t>
            </w:r>
            <w:bookmarkStart w:id="140" w:name="MathJax-Span-100"/>
            <w:bookmarkEnd w:id="140"/>
            <w:r>
              <w:rPr>
                <w:rFonts w:ascii="STIXGeneral" w:hAnsi="STIXGeneral"/>
              </w:rPr>
              <w:t>%</w:t>
            </w:r>
          </w:p>
        </w:tc>
      </w:tr>
    </w:tbl>
    <w:p>
      <w:pPr>
        <w:pStyle w:val="Normal"/>
        <w:bidi w:val="0"/>
        <w:spacing w:before="0" w:after="0"/>
        <w:jc w:val="left"/>
        <w:rPr>
          <w:sz w:val="4"/>
          <w:szCs w:val="4"/>
        </w:rPr>
      </w:pPr>
      <w:r>
        <w:rPr>
          <w:sz w:val="4"/>
          <w:szCs w:val="4"/>
        </w:rPr>
      </w:r>
      <w:bookmarkStart w:id="141" w:name="yui_3_17_2_1_1679689107469_22720"/>
      <w:bookmarkStart w:id="142" w:name="yui_3_17_2_1_1679689107469_22720"/>
      <w:bookmarkEnd w:id="142"/>
    </w:p>
    <w:tbl>
      <w:tblPr>
        <w:tblW w:w="169" w:type="dxa"/>
        <w:jc w:val="left"/>
        <w:tblInd w:w="28" w:type="dxa"/>
        <w:tblCellMar>
          <w:top w:w="28" w:type="dxa"/>
          <w:left w:w="28" w:type="dxa"/>
          <w:bottom w:w="28" w:type="dxa"/>
          <w:right w:w="28" w:type="dxa"/>
        </w:tblCellMar>
      </w:tblPr>
      <w:tblGrid>
        <w:gridCol w:w="169"/>
      </w:tblGrid>
      <w:tr>
        <w:trPr>
          <w:tblHeader w:val="true"/>
        </w:trPr>
        <w:tc>
          <w:tcPr>
            <w:tcW w:w="169" w:type="dxa"/>
            <w:tcBorders/>
            <w:vAlign w:val="center"/>
          </w:tcPr>
          <w:p>
            <w:pPr>
              <w:pStyle w:val="TableContents"/>
              <w:suppressLineNumbers/>
              <w:bidi w:val="0"/>
              <w:jc w:val="left"/>
              <w:rPr/>
            </w:pPr>
            <w:r>
              <w:rPr/>
            </w:r>
          </w:p>
        </w:tc>
      </w:tr>
    </w:tbl>
    <w:p>
      <w:pPr>
        <w:pStyle w:val="Heading4"/>
        <w:bidi w:val="0"/>
        <w:jc w:val="left"/>
        <w:rPr/>
      </w:pPr>
      <w:r>
        <w:rPr/>
      </w:r>
    </w:p>
    <w:p>
      <w:pPr>
        <w:pStyle w:val="Heading4"/>
        <w:bidi w:val="0"/>
        <w:jc w:val="left"/>
        <w:rPr/>
      </w:pPr>
      <w:r>
        <w:rPr/>
        <w:t>Tentative weekly schedule</w:t>
      </w:r>
    </w:p>
    <w:p>
      <w:pPr>
        <w:pStyle w:val="TextBody"/>
        <w:bidi w:val="0"/>
        <w:spacing w:lineRule="auto" w:line="276" w:before="0" w:after="140"/>
        <w:jc w:val="left"/>
        <w:rPr/>
      </w:pPr>
      <w:r>
        <w:rPr/>
        <w:t>This will be subject to change depending on the pace of the lectures.</w:t>
      </w:r>
    </w:p>
    <w:p>
      <w:pPr>
        <w:pStyle w:val="TextBody"/>
        <w:bidi w:val="0"/>
        <w:spacing w:before="0" w:after="0"/>
        <w:jc w:val="left"/>
        <w:rPr/>
      </w:pPr>
      <w:r>
        <w:rPr/>
      </w:r>
      <w:bookmarkStart w:id="143" w:name="yui_3_17_2_1_1679689107469_226"/>
      <w:bookmarkStart w:id="144" w:name="yui_3_17_2_1_1679689107469_226"/>
      <w:bookmarkEnd w:id="144"/>
    </w:p>
    <w:p>
      <w:pPr>
        <w:pStyle w:val="TextBody"/>
        <w:bidi w:val="0"/>
        <w:spacing w:before="0" w:after="0"/>
        <w:jc w:val="center"/>
        <w:rPr/>
      </w:pPr>
      <w:r>
        <w:rPr/>
        <w:t>Schedule</w:t>
      </w:r>
    </w:p>
    <w:tbl>
      <w:tblPr>
        <w:tblW w:w="9972" w:type="dxa"/>
        <w:jc w:val="left"/>
        <w:tblInd w:w="28" w:type="dxa"/>
        <w:tblCellMar>
          <w:top w:w="28" w:type="dxa"/>
          <w:left w:w="28" w:type="dxa"/>
          <w:bottom w:w="28" w:type="dxa"/>
          <w:right w:w="28" w:type="dxa"/>
        </w:tblCellMar>
      </w:tblPr>
      <w:tblGrid>
        <w:gridCol w:w="1405"/>
        <w:gridCol w:w="8567"/>
      </w:tblGrid>
      <w:tr>
        <w:trPr>
          <w:tblHeader w:val="true"/>
        </w:trPr>
        <w:tc>
          <w:tcPr>
            <w:tcW w:w="1405" w:type="dxa"/>
            <w:tcBorders/>
            <w:vAlign w:val="center"/>
          </w:tcPr>
          <w:p>
            <w:pPr>
              <w:pStyle w:val="TableHeading"/>
              <w:suppressLineNumbers/>
              <w:bidi w:val="0"/>
              <w:jc w:val="center"/>
              <w:rPr/>
            </w:pPr>
            <w:r>
              <w:rPr/>
              <w:t>Week</w:t>
            </w:r>
          </w:p>
        </w:tc>
        <w:tc>
          <w:tcPr>
            <w:tcW w:w="8567" w:type="dxa"/>
            <w:tcBorders/>
            <w:vAlign w:val="center"/>
          </w:tcPr>
          <w:p>
            <w:pPr>
              <w:pStyle w:val="TableHeading"/>
              <w:suppressLineNumbers/>
              <w:bidi w:val="0"/>
              <w:jc w:val="center"/>
              <w:rPr/>
            </w:pPr>
            <w:r>
              <w:rPr/>
              <w:t>Topics covered</w:t>
            </w:r>
            <w:bookmarkStart w:id="145" w:name="yui_3_17_2_1_1679689107469_225"/>
            <w:bookmarkEnd w:id="145"/>
          </w:p>
        </w:tc>
      </w:tr>
      <w:tr>
        <w:trPr/>
        <w:tc>
          <w:tcPr>
            <w:tcW w:w="1405" w:type="dxa"/>
            <w:tcBorders/>
            <w:vAlign w:val="center"/>
          </w:tcPr>
          <w:p>
            <w:pPr>
              <w:pStyle w:val="TableContents"/>
              <w:suppressLineNumbers/>
              <w:bidi w:val="0"/>
              <w:jc w:val="left"/>
              <w:rPr/>
            </w:pPr>
            <w:r>
              <w:rPr/>
              <w:t>02/05 - 02/11</w:t>
            </w:r>
          </w:p>
        </w:tc>
        <w:tc>
          <w:tcPr>
            <w:tcW w:w="8567" w:type="dxa"/>
            <w:tcBorders/>
            <w:vAlign w:val="center"/>
          </w:tcPr>
          <w:p>
            <w:pPr>
              <w:pStyle w:val="TableContents"/>
              <w:bidi w:val="0"/>
              <w:spacing w:before="0" w:after="283"/>
              <w:jc w:val="left"/>
              <w:rPr/>
            </w:pPr>
            <w:hyperlink r:id="rId4">
              <w:r>
                <w:rPr>
                  <w:rStyle w:val="InternetLink"/>
                </w:rPr>
                <w:t>Kinetic theory</w:t>
              </w:r>
            </w:hyperlink>
            <w:r>
              <w:rPr/>
              <w:t xml:space="preserve"> of gases</w:t>
            </w:r>
          </w:p>
          <w:p>
            <w:pPr>
              <w:pStyle w:val="TableContents"/>
              <w:numPr>
                <w:ilvl w:val="0"/>
                <w:numId w:val="2"/>
              </w:numPr>
              <w:tabs>
                <w:tab w:val="clear" w:pos="709"/>
                <w:tab w:val="left" w:pos="707" w:leader="none"/>
              </w:tabs>
              <w:bidi w:val="0"/>
              <w:ind w:left="707" w:hanging="283"/>
              <w:jc w:val="left"/>
              <w:rPr/>
            </w:pPr>
            <w:r>
              <w:rPr/>
              <w:t>brief introduction to concepts in thermodynamics; heat and heat capacity</w:t>
            </w:r>
          </w:p>
          <w:p>
            <w:pPr>
              <w:pStyle w:val="TableContents"/>
              <w:numPr>
                <w:ilvl w:val="0"/>
                <w:numId w:val="2"/>
              </w:numPr>
              <w:tabs>
                <w:tab w:val="clear" w:pos="709"/>
                <w:tab w:val="left" w:pos="707" w:leader="none"/>
              </w:tabs>
              <w:bidi w:val="0"/>
              <w:ind w:left="707" w:hanging="283"/>
              <w:jc w:val="left"/>
              <w:rPr/>
            </w:pPr>
            <w:r>
              <w:rPr/>
              <w:t>ideal gas laws; van der Waals equation of state</w:t>
            </w:r>
          </w:p>
          <w:p>
            <w:pPr>
              <w:pStyle w:val="TableContents"/>
              <w:numPr>
                <w:ilvl w:val="0"/>
                <w:numId w:val="2"/>
              </w:numPr>
              <w:tabs>
                <w:tab w:val="clear" w:pos="709"/>
                <w:tab w:val="left" w:pos="707" w:leader="none"/>
              </w:tabs>
              <w:bidi w:val="0"/>
              <w:ind w:left="707" w:hanging="283"/>
              <w:jc w:val="left"/>
              <w:rPr/>
            </w:pPr>
            <w:r>
              <w:rPr/>
              <w:t>mean free path and RMS speed</w:t>
            </w:r>
          </w:p>
          <w:p>
            <w:pPr>
              <w:pStyle w:val="TableContents"/>
              <w:numPr>
                <w:ilvl w:val="0"/>
                <w:numId w:val="2"/>
              </w:numPr>
              <w:tabs>
                <w:tab w:val="clear" w:pos="709"/>
                <w:tab w:val="left" w:pos="707" w:leader="none"/>
              </w:tabs>
              <w:bidi w:val="0"/>
              <w:ind w:left="707" w:hanging="283"/>
              <w:jc w:val="left"/>
              <w:rPr/>
            </w:pPr>
            <w:r>
              <w:rPr/>
              <w:t>Maxwell-Boltzmann distribution</w:t>
            </w:r>
          </w:p>
          <w:p>
            <w:pPr>
              <w:pStyle w:val="TableContents"/>
              <w:numPr>
                <w:ilvl w:val="0"/>
                <w:numId w:val="2"/>
              </w:numPr>
              <w:tabs>
                <w:tab w:val="clear" w:pos="709"/>
                <w:tab w:val="left" w:pos="707" w:leader="none"/>
              </w:tabs>
              <w:bidi w:val="0"/>
              <w:spacing w:before="0" w:after="283"/>
              <w:ind w:left="707" w:hanging="283"/>
              <w:jc w:val="left"/>
              <w:rPr/>
            </w:pPr>
            <w:r>
              <w:rPr/>
              <w:t>diffusion - random walk and Fick's law</w:t>
            </w:r>
          </w:p>
        </w:tc>
      </w:tr>
      <w:tr>
        <w:trPr/>
        <w:tc>
          <w:tcPr>
            <w:tcW w:w="1405" w:type="dxa"/>
            <w:tcBorders/>
            <w:vAlign w:val="center"/>
          </w:tcPr>
          <w:p>
            <w:pPr>
              <w:pStyle w:val="TableContents"/>
              <w:suppressLineNumbers/>
              <w:bidi w:val="0"/>
              <w:jc w:val="left"/>
              <w:rPr/>
            </w:pPr>
            <w:r>
              <w:rPr/>
              <w:t>02/12 - 02/18</w:t>
            </w:r>
          </w:p>
        </w:tc>
        <w:tc>
          <w:tcPr>
            <w:tcW w:w="8567" w:type="dxa"/>
            <w:tcBorders/>
            <w:vAlign w:val="center"/>
          </w:tcPr>
          <w:p>
            <w:pPr>
              <w:pStyle w:val="TableContents"/>
              <w:bidi w:val="0"/>
              <w:spacing w:before="0" w:after="283"/>
              <w:jc w:val="left"/>
              <w:rPr/>
            </w:pPr>
            <w:r>
              <w:rPr/>
              <w:t>Introduction to electrostatics</w:t>
            </w:r>
          </w:p>
          <w:p>
            <w:pPr>
              <w:pStyle w:val="TableContents"/>
              <w:numPr>
                <w:ilvl w:val="0"/>
                <w:numId w:val="3"/>
              </w:numPr>
              <w:tabs>
                <w:tab w:val="clear" w:pos="709"/>
                <w:tab w:val="left" w:pos="707" w:leader="none"/>
              </w:tabs>
              <w:bidi w:val="0"/>
              <w:ind w:left="707" w:hanging="283"/>
              <w:jc w:val="left"/>
              <w:rPr/>
            </w:pPr>
            <w:r>
              <w:rPr/>
              <w:t>electric charge; conductors and insulators</w:t>
            </w:r>
          </w:p>
          <w:p>
            <w:pPr>
              <w:pStyle w:val="TableContents"/>
              <w:numPr>
                <w:ilvl w:val="0"/>
                <w:numId w:val="3"/>
              </w:numPr>
              <w:tabs>
                <w:tab w:val="clear" w:pos="709"/>
                <w:tab w:val="left" w:pos="707" w:leader="none"/>
              </w:tabs>
              <w:bidi w:val="0"/>
              <w:ind w:left="707" w:hanging="283"/>
              <w:jc w:val="left"/>
              <w:rPr/>
            </w:pPr>
            <w:r>
              <w:rPr/>
              <w:t>Coulomb's law; electric fields</w:t>
            </w:r>
          </w:p>
          <w:p>
            <w:pPr>
              <w:pStyle w:val="TableContents"/>
              <w:numPr>
                <w:ilvl w:val="0"/>
                <w:numId w:val="3"/>
              </w:numPr>
              <w:tabs>
                <w:tab w:val="clear" w:pos="709"/>
                <w:tab w:val="left" w:pos="707" w:leader="none"/>
              </w:tabs>
              <w:bidi w:val="0"/>
              <w:ind w:left="707" w:hanging="283"/>
              <w:jc w:val="left"/>
              <w:rPr/>
            </w:pPr>
            <w:r>
              <w:rPr/>
              <w:t>electric fields from continuous charge distributions</w:t>
            </w:r>
          </w:p>
          <w:p>
            <w:pPr>
              <w:pStyle w:val="TableContents"/>
              <w:numPr>
                <w:ilvl w:val="0"/>
                <w:numId w:val="3"/>
              </w:numPr>
              <w:tabs>
                <w:tab w:val="clear" w:pos="709"/>
                <w:tab w:val="left" w:pos="707" w:leader="none"/>
              </w:tabs>
              <w:bidi w:val="0"/>
              <w:spacing w:before="0" w:after="283"/>
              <w:ind w:left="707" w:hanging="283"/>
              <w:jc w:val="left"/>
              <w:rPr/>
            </w:pPr>
            <w:r>
              <w:rPr/>
              <w:t>electric dipoles</w:t>
            </w:r>
          </w:p>
          <w:p>
            <w:pPr>
              <w:pStyle w:val="TableContents"/>
              <w:bidi w:val="0"/>
              <w:spacing w:before="0" w:after="283"/>
              <w:jc w:val="left"/>
              <w:rPr/>
            </w:pPr>
            <w:r>
              <w:rPr>
                <w:rStyle w:val="StrongEmphasis"/>
              </w:rPr>
              <w:t xml:space="preserve">Optional reading: </w:t>
            </w:r>
            <w:r>
              <w:rPr/>
              <w:t>Gauss' law</w:t>
            </w:r>
          </w:p>
        </w:tc>
      </w:tr>
      <w:tr>
        <w:trPr/>
        <w:tc>
          <w:tcPr>
            <w:tcW w:w="1405" w:type="dxa"/>
            <w:tcBorders/>
            <w:vAlign w:val="center"/>
          </w:tcPr>
          <w:p>
            <w:pPr>
              <w:pStyle w:val="TableContents"/>
              <w:suppressLineNumbers/>
              <w:bidi w:val="0"/>
              <w:jc w:val="left"/>
              <w:rPr/>
            </w:pPr>
            <w:r>
              <w:rPr/>
              <w:t>02/19 - 02/25</w:t>
            </w:r>
          </w:p>
        </w:tc>
        <w:tc>
          <w:tcPr>
            <w:tcW w:w="8567" w:type="dxa"/>
            <w:tcBorders/>
            <w:vAlign w:val="center"/>
          </w:tcPr>
          <w:p>
            <w:pPr>
              <w:pStyle w:val="TableContents"/>
              <w:bidi w:val="0"/>
              <w:spacing w:before="0" w:after="283"/>
              <w:jc w:val="left"/>
              <w:rPr/>
            </w:pPr>
            <w:hyperlink r:id="rId5">
              <w:r>
                <w:rPr>
                  <w:rStyle w:val="InternetLink"/>
                </w:rPr>
                <w:t>Electric potential</w:t>
              </w:r>
            </w:hyperlink>
          </w:p>
          <w:p>
            <w:pPr>
              <w:pStyle w:val="TableContents"/>
              <w:numPr>
                <w:ilvl w:val="0"/>
                <w:numId w:val="4"/>
              </w:numPr>
              <w:tabs>
                <w:tab w:val="clear" w:pos="709"/>
                <w:tab w:val="left" w:pos="707" w:leader="none"/>
              </w:tabs>
              <w:bidi w:val="0"/>
              <w:ind w:left="707" w:hanging="283"/>
              <w:jc w:val="left"/>
              <w:rPr/>
            </w:pPr>
            <w:hyperlink r:id="rId6">
              <w:r>
                <w:rPr>
                  <w:rStyle w:val="InternetLink"/>
                </w:rPr>
                <w:t>electric potential</w:t>
              </w:r>
            </w:hyperlink>
            <w:r>
              <w:rPr/>
              <w:t xml:space="preserve"> and associated potential energy</w:t>
            </w:r>
          </w:p>
          <w:p>
            <w:pPr>
              <w:pStyle w:val="TableContents"/>
              <w:numPr>
                <w:ilvl w:val="0"/>
                <w:numId w:val="4"/>
              </w:numPr>
              <w:tabs>
                <w:tab w:val="clear" w:pos="709"/>
                <w:tab w:val="left" w:pos="707" w:leader="none"/>
              </w:tabs>
              <w:bidi w:val="0"/>
              <w:ind w:left="707" w:hanging="283"/>
              <w:jc w:val="left"/>
              <w:rPr/>
            </w:pPr>
            <w:r>
              <w:rPr/>
              <w:t xml:space="preserve">calculation of </w:t>
            </w:r>
            <w:hyperlink r:id="rId7">
              <w:r>
                <w:rPr>
                  <w:rStyle w:val="InternetLink"/>
                </w:rPr>
                <w:t>electric potential</w:t>
              </w:r>
            </w:hyperlink>
            <w:r>
              <w:rPr/>
              <w:t xml:space="preserve"> from charge distributions</w:t>
            </w:r>
          </w:p>
          <w:p>
            <w:pPr>
              <w:pStyle w:val="TableContents"/>
              <w:numPr>
                <w:ilvl w:val="0"/>
                <w:numId w:val="4"/>
              </w:numPr>
              <w:tabs>
                <w:tab w:val="clear" w:pos="709"/>
                <w:tab w:val="left" w:pos="707" w:leader="none"/>
              </w:tabs>
              <w:bidi w:val="0"/>
              <w:ind w:left="707" w:hanging="283"/>
              <w:jc w:val="left"/>
              <w:rPr/>
            </w:pPr>
            <w:r>
              <w:rPr/>
              <w:t>equipotential surfaces and conductors</w:t>
            </w:r>
          </w:p>
          <w:p>
            <w:pPr>
              <w:pStyle w:val="TableContents"/>
              <w:numPr>
                <w:ilvl w:val="0"/>
                <w:numId w:val="4"/>
              </w:numPr>
              <w:tabs>
                <w:tab w:val="clear" w:pos="709"/>
                <w:tab w:val="left" w:pos="707" w:leader="none"/>
              </w:tabs>
              <w:bidi w:val="0"/>
              <w:spacing w:before="0" w:after="283"/>
              <w:ind w:left="707" w:hanging="283"/>
              <w:jc w:val="left"/>
              <w:rPr/>
            </w:pPr>
            <w:r>
              <w:rPr/>
              <w:t>calculation of electric field from potential</w:t>
            </w:r>
          </w:p>
          <w:p>
            <w:pPr>
              <w:pStyle w:val="TableContents"/>
              <w:bidi w:val="0"/>
              <w:spacing w:before="0" w:after="283"/>
              <w:jc w:val="left"/>
              <w:rPr/>
            </w:pPr>
            <w:r>
              <w:rPr>
                <w:rStyle w:val="StrongEmphasis"/>
              </w:rPr>
              <w:t>Quiz 1 on 02/24/2023</w:t>
            </w:r>
          </w:p>
        </w:tc>
      </w:tr>
      <w:tr>
        <w:trPr/>
        <w:tc>
          <w:tcPr>
            <w:tcW w:w="1405" w:type="dxa"/>
            <w:tcBorders/>
            <w:vAlign w:val="center"/>
          </w:tcPr>
          <w:p>
            <w:pPr>
              <w:pStyle w:val="TableContents"/>
              <w:suppressLineNumbers/>
              <w:bidi w:val="0"/>
              <w:jc w:val="left"/>
              <w:rPr/>
            </w:pPr>
            <w:r>
              <w:rPr/>
              <w:t>02/26 - 03/04</w:t>
            </w:r>
          </w:p>
        </w:tc>
        <w:tc>
          <w:tcPr>
            <w:tcW w:w="8567" w:type="dxa"/>
            <w:tcBorders/>
            <w:vAlign w:val="center"/>
          </w:tcPr>
          <w:p>
            <w:pPr>
              <w:pStyle w:val="TableContents"/>
              <w:bidi w:val="0"/>
              <w:spacing w:before="0" w:after="283"/>
              <w:jc w:val="left"/>
              <w:rPr/>
            </w:pPr>
            <w:hyperlink r:id="rId8">
              <w:r>
                <w:rPr>
                  <w:rStyle w:val="InternetLink"/>
                </w:rPr>
                <w:t>Capacitance</w:t>
              </w:r>
            </w:hyperlink>
          </w:p>
          <w:p>
            <w:pPr>
              <w:pStyle w:val="TableContents"/>
              <w:numPr>
                <w:ilvl w:val="0"/>
                <w:numId w:val="5"/>
              </w:numPr>
              <w:tabs>
                <w:tab w:val="clear" w:pos="709"/>
                <w:tab w:val="left" w:pos="707" w:leader="none"/>
              </w:tabs>
              <w:bidi w:val="0"/>
              <w:ind w:left="707" w:hanging="283"/>
              <w:jc w:val="left"/>
              <w:rPr/>
            </w:pPr>
            <w:r>
              <w:rPr/>
              <w:t xml:space="preserve">capacitors and </w:t>
            </w:r>
            <w:hyperlink r:id="rId9">
              <w:r>
                <w:rPr>
                  <w:rStyle w:val="InternetLink"/>
                </w:rPr>
                <w:t>capacitance</w:t>
              </w:r>
            </w:hyperlink>
            <w:r>
              <w:rPr/>
              <w:t>; capacitors in series and parallel</w:t>
            </w:r>
          </w:p>
          <w:p>
            <w:pPr>
              <w:pStyle w:val="TableContents"/>
              <w:numPr>
                <w:ilvl w:val="0"/>
                <w:numId w:val="5"/>
              </w:numPr>
              <w:tabs>
                <w:tab w:val="clear" w:pos="709"/>
                <w:tab w:val="left" w:pos="707" w:leader="none"/>
              </w:tabs>
              <w:bidi w:val="0"/>
              <w:spacing w:before="0" w:after="283"/>
              <w:ind w:left="707" w:hanging="283"/>
              <w:jc w:val="left"/>
              <w:rPr/>
            </w:pPr>
            <w:r>
              <w:rPr/>
              <w:t>energy stored in capacitors; capacitors with dielectrics</w:t>
            </w:r>
          </w:p>
        </w:tc>
      </w:tr>
      <w:tr>
        <w:trPr/>
        <w:tc>
          <w:tcPr>
            <w:tcW w:w="1405" w:type="dxa"/>
            <w:tcBorders/>
            <w:vAlign w:val="center"/>
          </w:tcPr>
          <w:p>
            <w:pPr>
              <w:pStyle w:val="TableContents"/>
              <w:suppressLineNumbers/>
              <w:bidi w:val="0"/>
              <w:jc w:val="left"/>
              <w:rPr/>
            </w:pPr>
            <w:r>
              <w:rPr/>
              <w:t>03/05 - 03/11</w:t>
            </w:r>
          </w:p>
        </w:tc>
        <w:tc>
          <w:tcPr>
            <w:tcW w:w="8567" w:type="dxa"/>
            <w:tcBorders/>
            <w:vAlign w:val="center"/>
          </w:tcPr>
          <w:p>
            <w:pPr>
              <w:pStyle w:val="TableContents"/>
              <w:bidi w:val="0"/>
              <w:spacing w:before="0" w:after="283"/>
              <w:jc w:val="left"/>
              <w:rPr/>
            </w:pPr>
            <w:hyperlink r:id="rId10">
              <w:r>
                <w:rPr>
                  <w:rStyle w:val="InternetLink"/>
                </w:rPr>
                <w:t>Current and resistance</w:t>
              </w:r>
            </w:hyperlink>
          </w:p>
          <w:p>
            <w:pPr>
              <w:pStyle w:val="TableContents"/>
              <w:numPr>
                <w:ilvl w:val="0"/>
                <w:numId w:val="6"/>
              </w:numPr>
              <w:tabs>
                <w:tab w:val="clear" w:pos="709"/>
                <w:tab w:val="left" w:pos="707" w:leader="none"/>
              </w:tabs>
              <w:bidi w:val="0"/>
              <w:ind w:left="707" w:hanging="283"/>
              <w:jc w:val="left"/>
              <w:rPr/>
            </w:pPr>
            <w:r>
              <w:rPr/>
              <w:t>electrical current and conduction</w:t>
            </w:r>
          </w:p>
          <w:p>
            <w:pPr>
              <w:pStyle w:val="TableContents"/>
              <w:numPr>
                <w:ilvl w:val="0"/>
                <w:numId w:val="6"/>
              </w:numPr>
              <w:tabs>
                <w:tab w:val="clear" w:pos="709"/>
                <w:tab w:val="left" w:pos="707" w:leader="none"/>
              </w:tabs>
              <w:bidi w:val="0"/>
              <w:ind w:left="707" w:hanging="283"/>
              <w:jc w:val="left"/>
              <w:rPr/>
            </w:pPr>
            <w:r>
              <w:rPr/>
              <w:t>resistivity and resistance; Ohm's law</w:t>
            </w:r>
          </w:p>
          <w:p>
            <w:pPr>
              <w:pStyle w:val="TableContents"/>
              <w:numPr>
                <w:ilvl w:val="0"/>
                <w:numId w:val="6"/>
              </w:numPr>
              <w:tabs>
                <w:tab w:val="clear" w:pos="709"/>
                <w:tab w:val="left" w:pos="707" w:leader="none"/>
              </w:tabs>
              <w:bidi w:val="0"/>
              <w:spacing w:before="0" w:after="283"/>
              <w:ind w:left="707" w:hanging="283"/>
              <w:jc w:val="left"/>
              <w:rPr/>
            </w:pPr>
            <w:r>
              <w:rPr/>
              <w:t>electrical energy and power</w:t>
            </w:r>
          </w:p>
        </w:tc>
      </w:tr>
      <w:tr>
        <w:trPr/>
        <w:tc>
          <w:tcPr>
            <w:tcW w:w="1405" w:type="dxa"/>
            <w:tcBorders/>
            <w:vAlign w:val="center"/>
          </w:tcPr>
          <w:p>
            <w:pPr>
              <w:pStyle w:val="TableContents"/>
              <w:suppressLineNumbers/>
              <w:bidi w:val="0"/>
              <w:jc w:val="left"/>
              <w:rPr/>
            </w:pPr>
            <w:r>
              <w:rPr/>
              <w:t>03/12 - 03/18</w:t>
            </w:r>
          </w:p>
        </w:tc>
        <w:tc>
          <w:tcPr>
            <w:tcW w:w="8567" w:type="dxa"/>
            <w:tcBorders/>
            <w:vAlign w:val="center"/>
          </w:tcPr>
          <w:p>
            <w:pPr>
              <w:pStyle w:val="TableContents"/>
              <w:bidi w:val="0"/>
              <w:spacing w:before="0" w:after="283"/>
              <w:jc w:val="left"/>
              <w:rPr/>
            </w:pPr>
            <w:r>
              <w:rPr/>
              <w:t>Direct-Current circuits</w:t>
            </w:r>
          </w:p>
          <w:p>
            <w:pPr>
              <w:pStyle w:val="TableContents"/>
              <w:numPr>
                <w:ilvl w:val="0"/>
                <w:numId w:val="7"/>
              </w:numPr>
              <w:tabs>
                <w:tab w:val="clear" w:pos="709"/>
                <w:tab w:val="left" w:pos="707" w:leader="none"/>
              </w:tabs>
              <w:bidi w:val="0"/>
              <w:ind w:left="707" w:hanging="283"/>
              <w:jc w:val="left"/>
              <w:rPr/>
            </w:pPr>
            <w:r>
              <w:rPr/>
              <w:t>circuit elements;</w:t>
            </w:r>
          </w:p>
          <w:p>
            <w:pPr>
              <w:pStyle w:val="TableContents"/>
              <w:numPr>
                <w:ilvl w:val="0"/>
                <w:numId w:val="7"/>
              </w:numPr>
              <w:tabs>
                <w:tab w:val="clear" w:pos="709"/>
                <w:tab w:val="left" w:pos="707" w:leader="none"/>
              </w:tabs>
              <w:bidi w:val="0"/>
              <w:ind w:left="707" w:hanging="283"/>
              <w:jc w:val="left"/>
              <w:rPr/>
            </w:pPr>
            <w:r>
              <w:rPr/>
              <w:t>EMF; resistors in series and parallel</w:t>
            </w:r>
          </w:p>
          <w:p>
            <w:pPr>
              <w:pStyle w:val="TableContents"/>
              <w:numPr>
                <w:ilvl w:val="0"/>
                <w:numId w:val="7"/>
              </w:numPr>
              <w:tabs>
                <w:tab w:val="clear" w:pos="709"/>
                <w:tab w:val="left" w:pos="707" w:leader="none"/>
              </w:tabs>
              <w:bidi w:val="0"/>
              <w:ind w:left="707" w:hanging="283"/>
              <w:jc w:val="left"/>
              <w:rPr/>
            </w:pPr>
            <w:r>
              <w:rPr/>
              <w:t>Kirchhoff's rules</w:t>
            </w:r>
          </w:p>
          <w:p>
            <w:pPr>
              <w:pStyle w:val="TableContents"/>
              <w:numPr>
                <w:ilvl w:val="0"/>
                <w:numId w:val="7"/>
              </w:numPr>
              <w:tabs>
                <w:tab w:val="clear" w:pos="709"/>
                <w:tab w:val="left" w:pos="707" w:leader="none"/>
              </w:tabs>
              <w:bidi w:val="0"/>
              <w:spacing w:before="0" w:after="283"/>
              <w:ind w:left="707" w:hanging="283"/>
              <w:jc w:val="left"/>
              <w:rPr/>
            </w:pPr>
            <w:r>
              <w:rPr/>
              <w:t xml:space="preserve">RC circuits </w:t>
            </w:r>
          </w:p>
          <w:p>
            <w:pPr>
              <w:pStyle w:val="TableContents"/>
              <w:bidi w:val="0"/>
              <w:spacing w:before="0" w:after="283"/>
              <w:jc w:val="left"/>
              <w:rPr/>
            </w:pPr>
            <w:r>
              <w:rPr>
                <w:rStyle w:val="StrongEmphasis"/>
              </w:rPr>
              <w:t>Quiz 2 on 03/17/2023</w:t>
            </w:r>
          </w:p>
        </w:tc>
      </w:tr>
      <w:tr>
        <w:trPr/>
        <w:tc>
          <w:tcPr>
            <w:tcW w:w="1405" w:type="dxa"/>
            <w:tcBorders/>
            <w:vAlign w:val="center"/>
          </w:tcPr>
          <w:p>
            <w:pPr>
              <w:pStyle w:val="TableContents"/>
              <w:suppressLineNumbers/>
              <w:bidi w:val="0"/>
              <w:jc w:val="left"/>
              <w:rPr/>
            </w:pPr>
            <w:r>
              <w:rPr/>
              <w:t>03/19 - 03/25</w:t>
            </w:r>
          </w:p>
        </w:tc>
        <w:tc>
          <w:tcPr>
            <w:tcW w:w="8567" w:type="dxa"/>
            <w:tcBorders/>
            <w:vAlign w:val="center"/>
          </w:tcPr>
          <w:p>
            <w:pPr>
              <w:pStyle w:val="TableContents"/>
              <w:bidi w:val="0"/>
              <w:spacing w:before="0" w:after="283"/>
              <w:jc w:val="left"/>
              <w:rPr/>
            </w:pPr>
            <w:hyperlink r:id="rId11">
              <w:r>
                <w:rPr>
                  <w:rStyle w:val="InternetLink"/>
                </w:rPr>
                <w:t>Magnetic fields and forces</w:t>
              </w:r>
            </w:hyperlink>
          </w:p>
          <w:p>
            <w:pPr>
              <w:pStyle w:val="TableContents"/>
              <w:numPr>
                <w:ilvl w:val="0"/>
                <w:numId w:val="8"/>
              </w:numPr>
              <w:tabs>
                <w:tab w:val="clear" w:pos="709"/>
                <w:tab w:val="left" w:pos="707" w:leader="none"/>
              </w:tabs>
              <w:bidi w:val="0"/>
              <w:ind w:left="707" w:hanging="283"/>
              <w:jc w:val="left"/>
              <w:rPr/>
            </w:pPr>
            <w:r>
              <w:rPr/>
              <w:t>magnetic force on a charged particle and current carrying wire</w:t>
            </w:r>
          </w:p>
          <w:p>
            <w:pPr>
              <w:pStyle w:val="TableContents"/>
              <w:numPr>
                <w:ilvl w:val="0"/>
                <w:numId w:val="8"/>
              </w:numPr>
              <w:tabs>
                <w:tab w:val="clear" w:pos="709"/>
                <w:tab w:val="left" w:pos="707" w:leader="none"/>
              </w:tabs>
              <w:bidi w:val="0"/>
              <w:ind w:left="707" w:hanging="283"/>
              <w:jc w:val="left"/>
              <w:rPr/>
            </w:pPr>
            <w:r>
              <w:rPr/>
              <w:t>Lorentz equation</w:t>
            </w:r>
          </w:p>
          <w:p>
            <w:pPr>
              <w:pStyle w:val="TableContents"/>
              <w:numPr>
                <w:ilvl w:val="0"/>
                <w:numId w:val="8"/>
              </w:numPr>
              <w:tabs>
                <w:tab w:val="clear" w:pos="709"/>
                <w:tab w:val="left" w:pos="707" w:leader="none"/>
              </w:tabs>
              <w:bidi w:val="0"/>
              <w:spacing w:before="0" w:after="283"/>
              <w:ind w:left="707" w:hanging="283"/>
              <w:jc w:val="left"/>
              <w:rPr/>
            </w:pPr>
            <w:r>
              <w:rPr/>
              <w:t>torque of current carrying loops</w:t>
            </w:r>
          </w:p>
        </w:tc>
      </w:tr>
      <w:tr>
        <w:trPr/>
        <w:tc>
          <w:tcPr>
            <w:tcW w:w="1405" w:type="dxa"/>
            <w:tcBorders/>
            <w:vAlign w:val="center"/>
          </w:tcPr>
          <w:p>
            <w:pPr>
              <w:pStyle w:val="TableContents"/>
              <w:suppressLineNumbers/>
              <w:bidi w:val="0"/>
              <w:jc w:val="left"/>
              <w:rPr/>
            </w:pPr>
            <w:r>
              <w:rPr/>
              <w:t>03/26 - 04/01</w:t>
            </w:r>
          </w:p>
        </w:tc>
        <w:tc>
          <w:tcPr>
            <w:tcW w:w="8567" w:type="dxa"/>
            <w:tcBorders/>
            <w:vAlign w:val="center"/>
          </w:tcPr>
          <w:p>
            <w:pPr>
              <w:pStyle w:val="TableContents"/>
              <w:bidi w:val="0"/>
              <w:spacing w:before="0" w:after="283"/>
              <w:jc w:val="left"/>
              <w:rPr/>
            </w:pPr>
            <w:r>
              <w:rPr/>
              <w:t>Sources of magnetic fields</w:t>
            </w:r>
          </w:p>
          <w:p>
            <w:pPr>
              <w:pStyle w:val="TableContents"/>
              <w:numPr>
                <w:ilvl w:val="0"/>
                <w:numId w:val="9"/>
              </w:numPr>
              <w:tabs>
                <w:tab w:val="clear" w:pos="709"/>
                <w:tab w:val="left" w:pos="707" w:leader="none"/>
              </w:tabs>
              <w:bidi w:val="0"/>
              <w:ind w:left="707" w:hanging="283"/>
              <w:jc w:val="left"/>
              <w:rPr/>
            </w:pPr>
            <w:r>
              <w:rPr/>
              <w:t>Biot-Savart's law</w:t>
            </w:r>
          </w:p>
          <w:p>
            <w:pPr>
              <w:pStyle w:val="TableContents"/>
              <w:numPr>
                <w:ilvl w:val="0"/>
                <w:numId w:val="9"/>
              </w:numPr>
              <w:tabs>
                <w:tab w:val="clear" w:pos="709"/>
                <w:tab w:val="left" w:pos="707" w:leader="none"/>
              </w:tabs>
              <w:bidi w:val="0"/>
              <w:spacing w:before="0" w:after="283"/>
              <w:ind w:left="707" w:hanging="283"/>
              <w:jc w:val="left"/>
              <w:rPr/>
            </w:pPr>
            <w:r>
              <w:rPr/>
              <w:t>Ampere's law</w:t>
            </w:r>
            <w:bookmarkStart w:id="146" w:name="yui_3_17_2_1_1679689107469_224"/>
            <w:bookmarkEnd w:id="146"/>
          </w:p>
        </w:tc>
      </w:tr>
      <w:tr>
        <w:trPr/>
        <w:tc>
          <w:tcPr>
            <w:tcW w:w="1405" w:type="dxa"/>
            <w:tcBorders/>
            <w:vAlign w:val="center"/>
          </w:tcPr>
          <w:p>
            <w:pPr>
              <w:pStyle w:val="TableContents"/>
              <w:suppressLineNumbers/>
              <w:bidi w:val="0"/>
              <w:jc w:val="left"/>
              <w:rPr/>
            </w:pPr>
            <w:r>
              <w:rPr/>
              <w:t>04/02 - 04/08</w:t>
            </w:r>
            <w:bookmarkStart w:id="147" w:name="yui_3_17_2_1_1679689107469_223"/>
            <w:bookmarkEnd w:id="147"/>
          </w:p>
        </w:tc>
        <w:tc>
          <w:tcPr>
            <w:tcW w:w="8567" w:type="dxa"/>
            <w:tcBorders/>
            <w:vAlign w:val="center"/>
          </w:tcPr>
          <w:p>
            <w:pPr>
              <w:pStyle w:val="TableContents"/>
              <w:bidi w:val="0"/>
              <w:spacing w:before="0" w:after="283"/>
              <w:jc w:val="left"/>
              <w:rPr/>
            </w:pPr>
            <w:r>
              <w:rPr/>
              <w:t>Electromagnetic induction</w:t>
            </w:r>
          </w:p>
          <w:p>
            <w:pPr>
              <w:pStyle w:val="TableContents"/>
              <w:numPr>
                <w:ilvl w:val="0"/>
                <w:numId w:val="10"/>
              </w:numPr>
              <w:tabs>
                <w:tab w:val="clear" w:pos="709"/>
                <w:tab w:val="left" w:pos="707" w:leader="none"/>
              </w:tabs>
              <w:bidi w:val="0"/>
              <w:ind w:left="707" w:hanging="283"/>
              <w:jc w:val="left"/>
              <w:rPr/>
            </w:pPr>
            <w:bookmarkStart w:id="148" w:name="yui_3_17_2_1_1679689107469_222"/>
            <w:bookmarkEnd w:id="148"/>
            <w:r>
              <w:rPr/>
              <w:t>Faraday's law</w:t>
            </w:r>
          </w:p>
          <w:p>
            <w:pPr>
              <w:pStyle w:val="TableContents"/>
              <w:numPr>
                <w:ilvl w:val="0"/>
                <w:numId w:val="10"/>
              </w:numPr>
              <w:tabs>
                <w:tab w:val="clear" w:pos="709"/>
                <w:tab w:val="left" w:pos="707" w:leader="none"/>
              </w:tabs>
              <w:bidi w:val="0"/>
              <w:ind w:left="707" w:hanging="283"/>
              <w:jc w:val="left"/>
              <w:rPr/>
            </w:pPr>
            <w:r>
              <w:rPr/>
              <w:t>Lenz's law</w:t>
            </w:r>
          </w:p>
          <w:p>
            <w:pPr>
              <w:pStyle w:val="TableContents"/>
              <w:numPr>
                <w:ilvl w:val="0"/>
                <w:numId w:val="10"/>
              </w:numPr>
              <w:tabs>
                <w:tab w:val="clear" w:pos="709"/>
                <w:tab w:val="left" w:pos="707" w:leader="none"/>
              </w:tabs>
              <w:bidi w:val="0"/>
              <w:spacing w:before="0" w:after="283"/>
              <w:ind w:left="707" w:hanging="283"/>
              <w:jc w:val="left"/>
              <w:rPr/>
            </w:pPr>
            <w:bookmarkStart w:id="149" w:name="yui_3_17_2_1_1679689107469_221"/>
            <w:bookmarkEnd w:id="149"/>
            <w:r>
              <w:rPr/>
              <w:t>motional EMF</w:t>
            </w:r>
          </w:p>
        </w:tc>
      </w:tr>
      <w:tr>
        <w:trPr/>
        <w:tc>
          <w:tcPr>
            <w:tcW w:w="1405" w:type="dxa"/>
            <w:tcBorders/>
            <w:vAlign w:val="center"/>
          </w:tcPr>
          <w:p>
            <w:pPr>
              <w:pStyle w:val="TableContents"/>
              <w:suppressLineNumbers/>
              <w:bidi w:val="0"/>
              <w:jc w:val="left"/>
              <w:rPr/>
            </w:pPr>
            <w:r>
              <w:rPr/>
              <w:t>04/09 - 04/15</w:t>
            </w:r>
          </w:p>
        </w:tc>
        <w:tc>
          <w:tcPr>
            <w:tcW w:w="8567" w:type="dxa"/>
            <w:tcBorders/>
            <w:vAlign w:val="center"/>
          </w:tcPr>
          <w:p>
            <w:pPr>
              <w:pStyle w:val="TableContents"/>
              <w:bidi w:val="0"/>
              <w:spacing w:before="0" w:after="283"/>
              <w:jc w:val="left"/>
              <w:rPr/>
            </w:pPr>
            <w:r>
              <w:rPr/>
              <w:t>Electromagnetic waves</w:t>
            </w:r>
          </w:p>
          <w:p>
            <w:pPr>
              <w:pStyle w:val="TableContents"/>
              <w:numPr>
                <w:ilvl w:val="0"/>
                <w:numId w:val="11"/>
              </w:numPr>
              <w:tabs>
                <w:tab w:val="clear" w:pos="709"/>
                <w:tab w:val="left" w:pos="707" w:leader="none"/>
              </w:tabs>
              <w:bidi w:val="0"/>
              <w:ind w:left="707" w:hanging="283"/>
              <w:jc w:val="left"/>
              <w:rPr/>
            </w:pPr>
            <w:r>
              <w:rPr/>
              <w:t>EM wave phenomena; wave polarization</w:t>
            </w:r>
          </w:p>
          <w:p>
            <w:pPr>
              <w:pStyle w:val="TableContents"/>
              <w:numPr>
                <w:ilvl w:val="0"/>
                <w:numId w:val="11"/>
              </w:numPr>
              <w:tabs>
                <w:tab w:val="clear" w:pos="709"/>
                <w:tab w:val="left" w:pos="707" w:leader="none"/>
              </w:tabs>
              <w:bidi w:val="0"/>
              <w:ind w:left="707" w:hanging="283"/>
              <w:jc w:val="left"/>
              <w:rPr/>
            </w:pPr>
            <w:r>
              <w:rPr/>
              <w:t>EM wave spectrum</w:t>
            </w:r>
          </w:p>
          <w:p>
            <w:pPr>
              <w:pStyle w:val="TableContents"/>
              <w:numPr>
                <w:ilvl w:val="0"/>
                <w:numId w:val="11"/>
              </w:numPr>
              <w:tabs>
                <w:tab w:val="clear" w:pos="709"/>
                <w:tab w:val="left" w:pos="707" w:leader="none"/>
              </w:tabs>
              <w:bidi w:val="0"/>
              <w:ind w:left="707" w:hanging="283"/>
              <w:jc w:val="left"/>
              <w:rPr/>
            </w:pPr>
            <w:r>
              <w:rPr/>
              <w:t>energy carried by EM waves</w:t>
            </w:r>
          </w:p>
          <w:p>
            <w:pPr>
              <w:pStyle w:val="TableContents"/>
              <w:numPr>
                <w:ilvl w:val="0"/>
                <w:numId w:val="11"/>
              </w:numPr>
              <w:tabs>
                <w:tab w:val="clear" w:pos="709"/>
                <w:tab w:val="left" w:pos="707" w:leader="none"/>
              </w:tabs>
              <w:bidi w:val="0"/>
              <w:spacing w:before="0" w:after="283"/>
              <w:ind w:left="707" w:hanging="283"/>
              <w:jc w:val="left"/>
              <w:rPr/>
            </w:pPr>
            <w:r>
              <w:rPr/>
              <w:t>momentum and radiation pressure</w:t>
            </w:r>
          </w:p>
          <w:p>
            <w:pPr>
              <w:pStyle w:val="TableContents"/>
              <w:bidi w:val="0"/>
              <w:spacing w:before="0" w:after="283"/>
              <w:jc w:val="left"/>
              <w:rPr/>
            </w:pPr>
            <w:r>
              <w:rPr>
                <w:rStyle w:val="StrongEmphasis"/>
              </w:rPr>
              <w:t>Quiz 3 on 04/14/2023</w:t>
            </w:r>
          </w:p>
        </w:tc>
      </w:tr>
      <w:tr>
        <w:trPr/>
        <w:tc>
          <w:tcPr>
            <w:tcW w:w="1405" w:type="dxa"/>
            <w:tcBorders/>
            <w:vAlign w:val="center"/>
          </w:tcPr>
          <w:p>
            <w:pPr>
              <w:pStyle w:val="TableContents"/>
              <w:suppressLineNumbers/>
              <w:bidi w:val="0"/>
              <w:jc w:val="left"/>
              <w:rPr/>
            </w:pPr>
            <w:r>
              <w:rPr/>
              <w:t>04/16 - 04/22</w:t>
            </w:r>
          </w:p>
        </w:tc>
        <w:tc>
          <w:tcPr>
            <w:tcW w:w="8567" w:type="dxa"/>
            <w:tcBorders/>
            <w:vAlign w:val="center"/>
          </w:tcPr>
          <w:p>
            <w:pPr>
              <w:pStyle w:val="TableContents"/>
              <w:bidi w:val="0"/>
              <w:spacing w:before="0" w:after="283"/>
              <w:jc w:val="left"/>
              <w:rPr/>
            </w:pPr>
            <w:r>
              <w:rPr/>
              <w:t>Geometric optics and image formation</w:t>
            </w:r>
          </w:p>
          <w:p>
            <w:pPr>
              <w:pStyle w:val="TableContents"/>
              <w:numPr>
                <w:ilvl w:val="0"/>
                <w:numId w:val="12"/>
              </w:numPr>
              <w:tabs>
                <w:tab w:val="clear" w:pos="709"/>
                <w:tab w:val="left" w:pos="707" w:leader="none"/>
              </w:tabs>
              <w:bidi w:val="0"/>
              <w:ind w:left="707" w:hanging="283"/>
              <w:jc w:val="left"/>
              <w:rPr/>
            </w:pPr>
            <w:r>
              <w:rPr/>
              <w:t>laws of reflection and refraction; Huygen's principle</w:t>
            </w:r>
          </w:p>
          <w:p>
            <w:pPr>
              <w:pStyle w:val="TableContents"/>
              <w:numPr>
                <w:ilvl w:val="0"/>
                <w:numId w:val="12"/>
              </w:numPr>
              <w:tabs>
                <w:tab w:val="clear" w:pos="709"/>
                <w:tab w:val="left" w:pos="707" w:leader="none"/>
              </w:tabs>
              <w:bidi w:val="0"/>
              <w:ind w:left="707" w:hanging="283"/>
              <w:jc w:val="left"/>
              <w:rPr/>
            </w:pPr>
            <w:r>
              <w:rPr/>
              <w:t>image formation by reflection</w:t>
            </w:r>
          </w:p>
          <w:p>
            <w:pPr>
              <w:pStyle w:val="TableContents"/>
              <w:numPr>
                <w:ilvl w:val="0"/>
                <w:numId w:val="12"/>
              </w:numPr>
              <w:tabs>
                <w:tab w:val="clear" w:pos="709"/>
                <w:tab w:val="left" w:pos="707" w:leader="none"/>
              </w:tabs>
              <w:bidi w:val="0"/>
              <w:spacing w:before="0" w:after="283"/>
              <w:ind w:left="707" w:hanging="283"/>
              <w:jc w:val="left"/>
              <w:rPr/>
            </w:pPr>
            <w:r>
              <w:rPr/>
              <w:t>image formation by refraction; thin lenses and applications</w:t>
            </w:r>
          </w:p>
        </w:tc>
      </w:tr>
      <w:tr>
        <w:trPr/>
        <w:tc>
          <w:tcPr>
            <w:tcW w:w="1405" w:type="dxa"/>
            <w:tcBorders/>
            <w:vAlign w:val="center"/>
          </w:tcPr>
          <w:p>
            <w:pPr>
              <w:pStyle w:val="TableContents"/>
              <w:suppressLineNumbers/>
              <w:bidi w:val="0"/>
              <w:jc w:val="left"/>
              <w:rPr/>
            </w:pPr>
            <w:r>
              <w:rPr/>
              <w:t>04/23 - 04/29</w:t>
            </w:r>
          </w:p>
        </w:tc>
        <w:tc>
          <w:tcPr>
            <w:tcW w:w="8567" w:type="dxa"/>
            <w:tcBorders/>
            <w:vAlign w:val="center"/>
          </w:tcPr>
          <w:p>
            <w:pPr>
              <w:pStyle w:val="TableContents"/>
              <w:bidi w:val="0"/>
              <w:spacing w:before="0" w:after="283"/>
              <w:jc w:val="left"/>
              <w:rPr/>
            </w:pPr>
            <w:r>
              <w:rPr/>
              <w:t>Physical optics: interference and diffraction</w:t>
            </w:r>
          </w:p>
          <w:p>
            <w:pPr>
              <w:pStyle w:val="TableContents"/>
              <w:numPr>
                <w:ilvl w:val="0"/>
                <w:numId w:val="13"/>
              </w:numPr>
              <w:tabs>
                <w:tab w:val="clear" w:pos="709"/>
                <w:tab w:val="left" w:pos="707" w:leader="none"/>
              </w:tabs>
              <w:bidi w:val="0"/>
              <w:ind w:left="707" w:hanging="283"/>
              <w:jc w:val="left"/>
              <w:rPr/>
            </w:pPr>
            <w:r>
              <w:rPr/>
              <w:t>double-slit interference</w:t>
            </w:r>
          </w:p>
          <w:p>
            <w:pPr>
              <w:pStyle w:val="TableContents"/>
              <w:numPr>
                <w:ilvl w:val="0"/>
                <w:numId w:val="13"/>
              </w:numPr>
              <w:tabs>
                <w:tab w:val="clear" w:pos="709"/>
                <w:tab w:val="left" w:pos="707" w:leader="none"/>
              </w:tabs>
              <w:bidi w:val="0"/>
              <w:ind w:left="707" w:hanging="283"/>
              <w:jc w:val="left"/>
              <w:rPr/>
            </w:pPr>
            <w:r>
              <w:rPr/>
              <w:t>multiple-slit and thin film interference</w:t>
            </w:r>
          </w:p>
          <w:p>
            <w:pPr>
              <w:pStyle w:val="TableContents"/>
              <w:numPr>
                <w:ilvl w:val="0"/>
                <w:numId w:val="13"/>
              </w:numPr>
              <w:tabs>
                <w:tab w:val="clear" w:pos="709"/>
                <w:tab w:val="left" w:pos="707" w:leader="none"/>
              </w:tabs>
              <w:bidi w:val="0"/>
              <w:spacing w:before="0" w:after="283"/>
              <w:ind w:left="707" w:hanging="283"/>
              <w:jc w:val="left"/>
              <w:rPr/>
            </w:pPr>
            <w:r>
              <w:rPr/>
              <w:t>diffraction</w:t>
            </w:r>
          </w:p>
        </w:tc>
      </w:tr>
      <w:tr>
        <w:trPr/>
        <w:tc>
          <w:tcPr>
            <w:tcW w:w="1405" w:type="dxa"/>
            <w:tcBorders/>
            <w:vAlign w:val="center"/>
          </w:tcPr>
          <w:p>
            <w:pPr>
              <w:pStyle w:val="TableContents"/>
              <w:suppressLineNumbers/>
              <w:bidi w:val="0"/>
              <w:jc w:val="left"/>
              <w:rPr/>
            </w:pPr>
            <w:r>
              <w:rPr/>
              <w:t>04/30 - 05/06</w:t>
            </w:r>
          </w:p>
        </w:tc>
        <w:tc>
          <w:tcPr>
            <w:tcW w:w="8567" w:type="dxa"/>
            <w:tcBorders/>
            <w:vAlign w:val="center"/>
          </w:tcPr>
          <w:p>
            <w:pPr>
              <w:pStyle w:val="TableContents"/>
              <w:bidi w:val="0"/>
              <w:spacing w:before="0" w:after="283"/>
              <w:jc w:val="left"/>
              <w:rPr/>
            </w:pPr>
            <w:r>
              <w:rPr/>
              <w:t>Quantum physics</w:t>
            </w:r>
          </w:p>
          <w:p>
            <w:pPr>
              <w:pStyle w:val="TableContents"/>
              <w:numPr>
                <w:ilvl w:val="0"/>
                <w:numId w:val="14"/>
              </w:numPr>
              <w:tabs>
                <w:tab w:val="clear" w:pos="709"/>
                <w:tab w:val="left" w:pos="707" w:leader="none"/>
              </w:tabs>
              <w:bidi w:val="0"/>
              <w:ind w:left="707" w:hanging="283"/>
              <w:jc w:val="left"/>
              <w:rPr/>
            </w:pPr>
            <w:r>
              <w:rPr/>
              <w:t>survey: blackbody radiation, photoelectric effect, Compton effect</w:t>
            </w:r>
          </w:p>
          <w:p>
            <w:pPr>
              <w:pStyle w:val="TableContents"/>
              <w:numPr>
                <w:ilvl w:val="0"/>
                <w:numId w:val="14"/>
              </w:numPr>
              <w:tabs>
                <w:tab w:val="clear" w:pos="709"/>
                <w:tab w:val="left" w:pos="707" w:leader="none"/>
              </w:tabs>
              <w:bidi w:val="0"/>
              <w:ind w:left="707" w:hanging="283"/>
              <w:jc w:val="left"/>
              <w:rPr/>
            </w:pPr>
            <w:r>
              <w:rPr/>
              <w:t>wave-particle duality</w:t>
            </w:r>
          </w:p>
          <w:p>
            <w:pPr>
              <w:pStyle w:val="TableContents"/>
              <w:numPr>
                <w:ilvl w:val="0"/>
                <w:numId w:val="14"/>
              </w:numPr>
              <w:tabs>
                <w:tab w:val="clear" w:pos="709"/>
                <w:tab w:val="left" w:pos="707" w:leader="none"/>
              </w:tabs>
              <w:bidi w:val="0"/>
              <w:spacing w:before="0" w:after="283"/>
              <w:ind w:left="707" w:hanging="283"/>
              <w:jc w:val="left"/>
              <w:rPr/>
            </w:pPr>
            <w:r>
              <w:rPr/>
              <w:t>failure of the classical atom: Bohr's model</w:t>
            </w:r>
          </w:p>
          <w:p>
            <w:pPr>
              <w:pStyle w:val="TableContents"/>
              <w:bidi w:val="0"/>
              <w:spacing w:before="0" w:after="283"/>
              <w:jc w:val="left"/>
              <w:rPr/>
            </w:pPr>
            <w:r>
              <w:rPr>
                <w:rStyle w:val="StrongEmphasis"/>
              </w:rPr>
              <w:t>Quiz 4 on 05/05/2023</w:t>
            </w:r>
          </w:p>
        </w:tc>
      </w:tr>
      <w:tr>
        <w:trPr/>
        <w:tc>
          <w:tcPr>
            <w:tcW w:w="1405" w:type="dxa"/>
            <w:tcBorders/>
            <w:vAlign w:val="center"/>
          </w:tcPr>
          <w:p>
            <w:pPr>
              <w:pStyle w:val="TableContents"/>
              <w:suppressLineNumbers/>
              <w:bidi w:val="0"/>
              <w:jc w:val="left"/>
              <w:rPr/>
            </w:pPr>
            <w:r>
              <w:rPr/>
              <w:t>05/07 - 05/13</w:t>
            </w:r>
          </w:p>
        </w:tc>
        <w:tc>
          <w:tcPr>
            <w:tcW w:w="8567" w:type="dxa"/>
            <w:tcBorders/>
            <w:vAlign w:val="center"/>
          </w:tcPr>
          <w:p>
            <w:pPr>
              <w:pStyle w:val="TableContents"/>
              <w:bidi w:val="0"/>
              <w:spacing w:before="0" w:after="283"/>
              <w:jc w:val="left"/>
              <w:rPr/>
            </w:pPr>
            <w:r>
              <w:rPr/>
              <w:t>Nuclear physics</w:t>
            </w:r>
          </w:p>
          <w:p>
            <w:pPr>
              <w:pStyle w:val="TableContents"/>
              <w:numPr>
                <w:ilvl w:val="0"/>
                <w:numId w:val="15"/>
              </w:numPr>
              <w:tabs>
                <w:tab w:val="clear" w:pos="709"/>
                <w:tab w:val="left" w:pos="707" w:leader="none"/>
              </w:tabs>
              <w:bidi w:val="0"/>
              <w:ind w:left="707" w:hanging="283"/>
              <w:jc w:val="left"/>
              <w:rPr/>
            </w:pPr>
            <w:r>
              <w:rPr/>
              <w:t>elementary concepts on nuclear physics and decay</w:t>
            </w:r>
          </w:p>
          <w:p>
            <w:pPr>
              <w:pStyle w:val="TableContents"/>
              <w:numPr>
                <w:ilvl w:val="0"/>
                <w:numId w:val="15"/>
              </w:numPr>
              <w:tabs>
                <w:tab w:val="clear" w:pos="709"/>
                <w:tab w:val="left" w:pos="707" w:leader="none"/>
              </w:tabs>
              <w:bidi w:val="0"/>
              <w:spacing w:before="0" w:after="283"/>
              <w:ind w:left="707" w:hanging="283"/>
              <w:jc w:val="left"/>
              <w:rPr/>
            </w:pPr>
            <w:r>
              <w:rPr/>
              <w:t>medical applications</w:t>
            </w:r>
          </w:p>
        </w:tc>
      </w:tr>
      <w:tr>
        <w:trPr/>
        <w:tc>
          <w:tcPr>
            <w:tcW w:w="1405" w:type="dxa"/>
            <w:tcBorders/>
            <w:vAlign w:val="center"/>
          </w:tcPr>
          <w:p>
            <w:pPr>
              <w:pStyle w:val="TableContents"/>
              <w:suppressLineNumbers/>
              <w:bidi w:val="0"/>
              <w:jc w:val="left"/>
              <w:rPr/>
            </w:pPr>
            <w:r>
              <w:rPr/>
              <w:t xml:space="preserve">05/14 - 05/20 </w:t>
            </w:r>
          </w:p>
        </w:tc>
        <w:tc>
          <w:tcPr>
            <w:tcW w:w="8567" w:type="dxa"/>
            <w:tcBorders/>
            <w:vAlign w:val="center"/>
          </w:tcPr>
          <w:p>
            <w:pPr>
              <w:pStyle w:val="TableContents"/>
              <w:numPr>
                <w:ilvl w:val="0"/>
                <w:numId w:val="16"/>
              </w:numPr>
              <w:tabs>
                <w:tab w:val="clear" w:pos="709"/>
                <w:tab w:val="left" w:pos="707" w:leader="none"/>
              </w:tabs>
              <w:bidi w:val="0"/>
              <w:ind w:left="707" w:hanging="283"/>
              <w:jc w:val="left"/>
              <w:rPr/>
            </w:pPr>
            <w:r>
              <w:rPr/>
              <w:t>Special topic: RC circuits and modeling neurons (simplified Hodgkin-Huxley model)</w:t>
            </w:r>
          </w:p>
          <w:p>
            <w:pPr>
              <w:pStyle w:val="TableContents"/>
              <w:numPr>
                <w:ilvl w:val="0"/>
                <w:numId w:val="16"/>
              </w:numPr>
              <w:tabs>
                <w:tab w:val="clear" w:pos="709"/>
                <w:tab w:val="left" w:pos="707" w:leader="none"/>
              </w:tabs>
              <w:bidi w:val="0"/>
              <w:spacing w:before="0" w:after="283"/>
              <w:ind w:left="707" w:hanging="283"/>
              <w:jc w:val="left"/>
              <w:rPr/>
            </w:pPr>
            <w:r>
              <w:rPr/>
              <w:t>Review and final</w:t>
            </w:r>
          </w:p>
        </w:tc>
      </w:tr>
      <w:tr>
        <w:trPr/>
        <w:tc>
          <w:tcPr>
            <w:tcW w:w="1405" w:type="dxa"/>
            <w:tcBorders/>
            <w:vAlign w:val="center"/>
          </w:tcPr>
          <w:p>
            <w:pPr>
              <w:pStyle w:val="TableContents"/>
              <w:suppressLineNumbers/>
              <w:bidi w:val="0"/>
              <w:jc w:val="left"/>
              <w:rPr/>
            </w:pPr>
            <w:r>
              <w:rPr/>
            </w:r>
          </w:p>
        </w:tc>
        <w:tc>
          <w:tcPr>
            <w:tcW w:w="8567" w:type="dxa"/>
            <w:tcBorders/>
            <w:vAlign w:val="center"/>
          </w:tcPr>
          <w:p>
            <w:pPr>
              <w:pStyle w:val="TableContents"/>
              <w:suppressLineNumbers/>
              <w:bidi w:val="0"/>
              <w:jc w:val="left"/>
              <w:rPr/>
            </w:pPr>
            <w:r>
              <w:rPr/>
            </w:r>
          </w:p>
        </w:tc>
      </w:tr>
    </w:tbl>
    <w:p>
      <w:pPr>
        <w:pStyle w:val="Heading4"/>
        <w:bidi w:val="0"/>
        <w:jc w:val="left"/>
        <w:rPr/>
      </w:pPr>
      <w:r>
        <w:rPr/>
        <w:t>Gustavus Adolphus College Honor Code</w:t>
      </w:r>
    </w:p>
    <w:p>
      <w:pPr>
        <w:pStyle w:val="TextBody"/>
        <w:bidi w:val="0"/>
        <w:spacing w:lineRule="auto" w:line="276" w:before="0" w:after="140"/>
        <w:jc w:val="left"/>
        <w:rPr/>
      </w:pPr>
      <w:r>
        <w:rPr/>
        <w:t>The overarching principle of the Academic Honesty Policy is that students shall submit their own work, in fairness to others and to self. Your professor wants you, a developing scholar, to be able to take pride in your own academic work and to maintain your academic integrity. Citations must accompany any use of another’s words or ideas that are not common knowledge. Quoting or paraphrasing from electronic sources without proper citation is as serious a violation as copying from a book or other printed source. A student may not submit work that is substantially the same in two courses without first gaining permission of both instructors if the courses are taken concurrently, or permission of the current instructor if the work has been submitted in a previous semester. Ask your professor if you have questions about a particular assignment or kind of work. Please make sure you fully understand the rules related to online work, as it pertains to this course. Unauthorized aid during online exams and assignments is every bit as serious and inappropriate as it would be in an in-person course. In fact, in the online environment it is sometimes easier for faculty to detect violations.</w:t>
      </w:r>
    </w:p>
    <w:p>
      <w:pPr>
        <w:pStyle w:val="TextBody"/>
        <w:bidi w:val="0"/>
        <w:spacing w:lineRule="auto" w:line="276" w:before="0" w:after="140"/>
        <w:jc w:val="left"/>
        <w:rPr/>
      </w:pPr>
      <w:r>
        <w:rPr/>
        <w:t xml:space="preserve">The sanction in this course for a violation of the Honor Code involving plagiarism, copying another student on an exam, or other kinds of cheating on a single assignment will usually be an “F” on the plagiarized assignment or exam. For a more significant event, I, your professor, reserve the right to assign you a grade of “F” for the course. In addition, for any Honor Code violation, I will notify the Provost’s Office. A letter will be generated by the Provost’s Office and sent to you. The letter will remain on file. There will be no further consequence, beyond the course penalty and the letter, if you do not commit any further Honor Code violations. Repeat offenses could ultimately lead to dismissal from the College. You have the right to appeal any Honor Code violation through an Honor Board hearing process. In this course, your professor aims for you to learn how to cite sources properly, do your own work on all exams, and function as a scholar with integrity. Please feel welcome to ask questions about the important matter of Academic Honesty and let me know how I can best support your learning. </w:t>
      </w:r>
    </w:p>
    <w:p>
      <w:pPr>
        <w:pStyle w:val="TextBody"/>
        <w:bidi w:val="0"/>
        <w:spacing w:lineRule="auto" w:line="276" w:before="0" w:after="140"/>
        <w:jc w:val="left"/>
        <w:rPr/>
      </w:pPr>
      <w:r>
        <w:rPr/>
        <w:t xml:space="preserve">For detailed information, please refer to the following link under </w:t>
      </w:r>
      <w:r>
        <w:rPr>
          <w:rStyle w:val="StrongEmphasis"/>
        </w:rPr>
        <w:t>Academic Information and Policies</w:t>
      </w:r>
    </w:p>
    <w:p>
      <w:pPr>
        <w:pStyle w:val="TextBody"/>
        <w:bidi w:val="0"/>
        <w:spacing w:lineRule="auto" w:line="276" w:before="0" w:after="140"/>
        <w:jc w:val="left"/>
        <w:rPr>
          <w:rStyle w:val="StrongEmphasis"/>
        </w:rPr>
      </w:pPr>
      <w:hyperlink r:id="rId12">
        <w:r>
          <w:rPr>
            <w:rStyle w:val="InternetLink"/>
          </w:rPr>
          <w:t>https://gustavus.edu/general_catalog/21_22/academic_bulletin_21_22.pdf</w:t>
        </w:r>
      </w:hyperlink>
    </w:p>
    <w:p>
      <w:pPr>
        <w:pStyle w:val="Heading4"/>
        <w:bidi w:val="0"/>
        <w:jc w:val="left"/>
        <w:rPr/>
      </w:pPr>
      <w:r>
        <w:rPr/>
        <w:t>Academic Accomodations</w:t>
      </w:r>
    </w:p>
    <w:p>
      <w:pPr>
        <w:pStyle w:val="TextBody"/>
        <w:bidi w:val="0"/>
        <w:spacing w:lineRule="auto" w:line="276" w:before="0" w:after="140"/>
        <w:jc w:val="left"/>
        <w:rPr/>
      </w:pPr>
      <w:r>
        <w:rPr/>
        <w:t>Gustavus Adolphus College is committed to ensuring equitable and inclusive learning environments for all students. If you have a disability and anticipate or experience barriers to equal access, please speak with the accessibility resources staff about your needs. A disability may include mental health, attentional, learning, chronic health, sensory, physical, and/or short-term conditions. When appropriate, staff will guide students and professors in making accommodations to ensure equal access. Accommodations cannot be made retroactively; therefore, to maximize your academic success at Gustavus, please contact them as early as possible. Accessibility resources staff are located in the Academic Support Center (</w:t>
      </w:r>
      <w:hyperlink r:id="rId13">
        <w:r>
          <w:rPr>
            <w:rStyle w:val="InternetLink"/>
          </w:rPr>
          <w:t>https://gustavus.edu/asc/accessibility/</w:t>
        </w:r>
      </w:hyperlink>
      <w:r>
        <w:rPr/>
        <w:t>) (x7227). Accessibility Resources Coordinator, Corrie Odland (</w:t>
      </w:r>
      <w:hyperlink r:id="rId14">
        <w:r>
          <w:rPr>
            <w:rStyle w:val="InternetLink"/>
          </w:rPr>
          <w:t>codland@gustavus.edu</w:t>
        </w:r>
      </w:hyperlink>
      <w:r>
        <w:rPr/>
        <w:t>), can provide further information.</w:t>
      </w:r>
    </w:p>
    <w:p>
      <w:pPr>
        <w:pStyle w:val="Heading4"/>
        <w:bidi w:val="0"/>
        <w:jc w:val="left"/>
        <w:rPr>
          <w:lang w:val="en-US"/>
        </w:rPr>
      </w:pPr>
      <w:r>
        <w:rPr>
          <w:lang w:val="en-US"/>
        </w:rPr>
        <w:t>Academic Accommodation for Religious Observance</w:t>
      </w:r>
    </w:p>
    <w:p>
      <w:pPr>
        <w:pStyle w:val="TextBody"/>
        <w:bidi w:val="0"/>
        <w:spacing w:lineRule="auto" w:line="276" w:before="0" w:after="140"/>
        <w:jc w:val="left"/>
        <w:rPr/>
      </w:pPr>
      <w:r>
        <w:rPr/>
        <w:t xml:space="preserve">A student whose religious observance conflicts with a course requirement may request an academic accommodation from the instructor. Students should normally make such requests in writing by the end of the second week of classes, but there may be exceptions. Students may also request accommodations for religious traditions surrounding death and dying when the need arises. The Chaplains' Office annually publishes a multifaith holiday calendar with accommodation notations. You can find it here: </w:t>
      </w:r>
      <w:hyperlink r:id="rId15">
        <w:r>
          <w:rPr>
            <w:rStyle w:val="InternetLink"/>
          </w:rPr>
          <w:t>https://gustavus.edu/chaplain/multifaith/</w:t>
        </w:r>
      </w:hyperlink>
      <w:r>
        <w:rPr/>
        <w:t>. However, this list is not exhaustive and observances are not necessarily days when individuals will not attend work or school. There are also different levels of observance in different traditions. The Chaplains’ Office is available for consultation on any requests for accommodation that are not included in their calendar.</w:t>
      </w:r>
    </w:p>
    <w:p>
      <w:pPr>
        <w:pStyle w:val="Heading4"/>
        <w:bidi w:val="0"/>
        <w:jc w:val="left"/>
        <w:rPr>
          <w:lang w:val="en-US"/>
        </w:rPr>
      </w:pPr>
      <w:r>
        <w:rPr>
          <w:lang w:val="en-US"/>
        </w:rPr>
        <w:t>COVID Resources</w:t>
      </w:r>
    </w:p>
    <w:p>
      <w:pPr>
        <w:pStyle w:val="TextBody"/>
        <w:bidi w:val="0"/>
        <w:spacing w:lineRule="auto" w:line="276" w:before="0" w:after="140"/>
        <w:jc w:val="left"/>
        <w:rPr/>
      </w:pPr>
      <w:r>
        <w:rPr/>
        <w:t>Gustavus Adolphus College is committed to ensuring equitable and inclusive learning environments for all students. If you have a non-disability-related academic concern related to COVID for which you are not already receiving assistance from the Academic Support Center, please contact the Provost’s Office (</w:t>
      </w:r>
      <w:hyperlink r:id="rId16">
        <w:r>
          <w:rPr>
            <w:rStyle w:val="InternetLink"/>
          </w:rPr>
          <w:t>provostoffice@gustavus.edu</w:t>
        </w:r>
      </w:hyperlink>
      <w:r>
        <w:rPr/>
        <w:t>). When appropriate, the Provost’s Office will help guide students and faculty in making any necessary academic adjustments.</w:t>
      </w:r>
    </w:p>
    <w:p>
      <w:pPr>
        <w:pStyle w:val="Heading4"/>
        <w:bidi w:val="0"/>
        <w:jc w:val="left"/>
        <w:rPr>
          <w:lang w:val="en-US"/>
        </w:rPr>
      </w:pPr>
      <w:bookmarkStart w:id="150" w:name="_Toc110524708"/>
      <w:bookmarkEnd w:id="150"/>
      <w:r>
        <w:rPr>
          <w:lang w:val="en-US"/>
        </w:rPr>
        <w:t>Multilingual Student Support</w:t>
      </w:r>
    </w:p>
    <w:p>
      <w:pPr>
        <w:pStyle w:val="TextBody"/>
        <w:bidi w:val="0"/>
        <w:spacing w:lineRule="auto" w:line="276" w:before="0" w:after="140"/>
        <w:jc w:val="left"/>
        <w:rPr/>
      </w:pPr>
      <w:r>
        <w:rPr/>
        <w:t>Some Gusties may have grown up speaking a language (or languages) other than English at home. If so, we refer to you as “multilingual.” Your multilingual background is an incredible resource for you, and for our campus, but it can come with some challenges. You can find support through the Center for International and Cultural Education’s (</w:t>
      </w:r>
      <w:hyperlink r:id="rId17">
        <w:r>
          <w:rPr>
            <w:rStyle w:val="InternetLink"/>
          </w:rPr>
          <w:t>https://gustavus.edu/cice/</w:t>
        </w:r>
      </w:hyperlink>
      <w:r>
        <w:rPr/>
        <w:t>) Multilingual and Intercultural Program Coordinator (MIPC), Pam Pearson (</w:t>
      </w:r>
      <w:hyperlink r:id="rId18">
        <w:r>
          <w:rPr>
            <w:rStyle w:val="InternetLink"/>
          </w:rPr>
          <w:t>ppearson@gustavus.edu</w:t>
        </w:r>
      </w:hyperlink>
      <w:r>
        <w:rPr/>
        <w:t>). Pam can meet individually for tutoring in writing, consulting about specific assignments, and helping students connect with the College’s support systems. If you want help with a specific task (for example, reading word problems on an exam quickly enough or revising grammar in essays), let your professor and Pam know as soon as possible. In addition, the Writing Center (</w:t>
      </w:r>
      <w:hyperlink r:id="rId19">
        <w:r>
          <w:rPr>
            <w:rStyle w:val="InternetLink"/>
          </w:rPr>
          <w:t>https://gustavus.edu/writingcenter/</w:t>
        </w:r>
      </w:hyperlink>
      <w:r>
        <w:rPr/>
        <w:t>) offers tutoring from peers (some of whom are themselves multilingual) who can help you do your best writing.</w:t>
      </w:r>
    </w:p>
    <w:p>
      <w:pPr>
        <w:pStyle w:val="Heading4"/>
        <w:bidi w:val="0"/>
        <w:jc w:val="left"/>
        <w:rPr>
          <w:lang w:val="en-US"/>
        </w:rPr>
      </w:pPr>
      <w:bookmarkStart w:id="151" w:name="_Toc110524709"/>
      <w:bookmarkEnd w:id="151"/>
      <w:r>
        <w:rPr>
          <w:lang w:val="en-US"/>
        </w:rPr>
        <w:t>Mental Wellbeing</w:t>
      </w:r>
    </w:p>
    <w:p>
      <w:pPr>
        <w:pStyle w:val="TextBody"/>
        <w:bidi w:val="0"/>
        <w:spacing w:lineRule="auto" w:line="276" w:before="0" w:after="140"/>
        <w:jc w:val="left"/>
        <w:rPr/>
      </w:pPr>
      <w:r>
        <w:rPr/>
        <w:t xml:space="preserve">The Gustavus community is committed to and cares about all students. Strained relationships, increased anxiety, alcohol or drug problems, feeling down, difficulty concentrating, and/or lack of motivation may affect a student’s academic performance or reduce a student’s ability to participate in daily activities. If you or someone you know expresses such mental health concerns or experiences a stressful event that can create barriers to learning, Gustavus services are available to assist you, and include online options. You can learn more about the broad range of confidential health services available on campus at </w:t>
      </w:r>
      <w:hyperlink r:id="rId20">
        <w:r>
          <w:rPr>
            <w:rStyle w:val="InternetLink"/>
          </w:rPr>
          <w:t>https://gustavus.edu/counseling/</w:t>
        </w:r>
      </w:hyperlink>
      <w:r>
        <w:rPr/>
        <w:t xml:space="preserve"> and </w:t>
      </w:r>
      <w:hyperlink r:id="rId21">
        <w:r>
          <w:rPr>
            <w:rStyle w:val="InternetLink"/>
          </w:rPr>
          <w:t>https://gustavus.edu/deanofstudents/services/</w:t>
        </w:r>
      </w:hyperlink>
      <w:r>
        <w:rPr/>
        <w:t xml:space="preserve">. </w:t>
      </w:r>
    </w:p>
    <w:p>
      <w:pPr>
        <w:pStyle w:val="Heading4"/>
        <w:bidi w:val="0"/>
        <w:jc w:val="left"/>
        <w:rPr>
          <w:lang w:val="en-US"/>
        </w:rPr>
      </w:pPr>
      <w:r>
        <w:rPr>
          <w:lang w:val="en-US"/>
        </w:rPr>
        <w:t>Title IX: Sexual Misconduct Prevention and Resources</w:t>
      </w:r>
    </w:p>
    <w:p>
      <w:pPr>
        <w:pStyle w:val="TextBody"/>
        <w:bidi w:val="0"/>
        <w:spacing w:lineRule="auto" w:line="276" w:before="0" w:after="140"/>
        <w:jc w:val="left"/>
        <w:rPr/>
      </w:pPr>
      <w:r>
        <w:rPr/>
        <w:t xml:space="preserve">Gustavus Adolphus College recognizes the dignity of all individuals and promotes respect for all people. As such, we are committed to providing an environment free of all forms of discrimination including sexual and gender-based discrimination, harassment, and violence like sexual assault, domestic violence, dating violence, and stalking. If you (or someone you know) has experienced or is experiencing these types of behaviors, know that you are not alone. Resources and support are available; you can learn more online at </w:t>
      </w:r>
      <w:hyperlink r:id="rId22">
        <w:r>
          <w:rPr>
            <w:rStyle w:val="InternetLink"/>
          </w:rPr>
          <w:t>https://gustavus.edu/titleix/</w:t>
        </w:r>
      </w:hyperlink>
      <w:r>
        <w:rPr/>
        <w:t>.</w:t>
      </w:r>
    </w:p>
    <w:p>
      <w:pPr>
        <w:pStyle w:val="TextBody"/>
        <w:bidi w:val="0"/>
        <w:spacing w:lineRule="auto" w:line="276" w:before="0" w:after="140"/>
        <w:jc w:val="left"/>
        <w:rPr/>
      </w:pPr>
      <w:r>
        <w:rPr/>
        <w:t xml:space="preserve">Please know that if you choose to confide in me, I am required by the College to report to the Title IX Coordinator, because Gustavus and I want to be sure you are connected with all the support the College can offer. Although it is encouraged, you are not required to respond to outreach from the College if you do not want to. You may speak to someone confidentially by contacting the Sexual Assault Response Team (SART/CADA), Chaplains, Counseling Center, or Health Service staff; conversations with these individuals can be kept strictly confidential. SART/CADA can be reached 24 hours a day at 507-933-6868. You can also make a report yourself, including an anonymous report, through the form at </w:t>
      </w:r>
      <w:hyperlink r:id="rId23">
        <w:r>
          <w:rPr>
            <w:rStyle w:val="InternetLink"/>
          </w:rPr>
          <w:t>https://gustavus.edu/titleix/</w:t>
        </w:r>
      </w:hyperlink>
      <w:r>
        <w:rPr/>
        <w:t>.</w:t>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TIXGeneral">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214"/>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paragraph" w:styleId="Heading4">
    <w:name w:val="Heading 4"/>
    <w:basedOn w:val="Heading"/>
    <w:next w:val="TextBody"/>
    <w:qFormat/>
    <w:pPr>
      <w:spacing w:before="120" w:after="120"/>
      <w:outlineLvl w:val="3"/>
    </w:pPr>
    <w:rPr>
      <w:rFonts w:ascii="Liberation Serif" w:hAnsi="Liberation Serif" w:eastAsia="Noto Serif CJK SC" w:cs="Lohit Devanagari"/>
      <w:b/>
      <w:bCs/>
      <w:sz w:val="24"/>
      <w:szCs w:val="24"/>
    </w:rPr>
  </w:style>
  <w:style w:type="character" w:styleId="StrongEmphasis">
    <w:name w:val="Strong Emphasis"/>
    <w:qFormat/>
    <w:rPr>
      <w:b/>
      <w:bCs/>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penstax.org/books/university-physics-volume-2/pages/1-introduction" TargetMode="External"/><Relationship Id="rId3" Type="http://schemas.openxmlformats.org/officeDocument/2006/relationships/hyperlink" Target="https://openstax.org/books/university-physics-volume-3/pages/1-introduction" TargetMode="External"/><Relationship Id="rId4" Type="http://schemas.openxmlformats.org/officeDocument/2006/relationships/hyperlink" Target="https://moodle.gustavus.edu/mod/resource/view.php?id=56444" TargetMode="External"/><Relationship Id="rId5" Type="http://schemas.openxmlformats.org/officeDocument/2006/relationships/hyperlink" Target="https://moodle.gustavus.edu/mod/resource/view.php?id=61243" TargetMode="External"/><Relationship Id="rId6" Type="http://schemas.openxmlformats.org/officeDocument/2006/relationships/hyperlink" Target="https://moodle.gustavus.edu/mod/resource/view.php?id=61243" TargetMode="External"/><Relationship Id="rId7" Type="http://schemas.openxmlformats.org/officeDocument/2006/relationships/hyperlink" Target="https://moodle.gustavus.edu/mod/resource/view.php?id=61243" TargetMode="External"/><Relationship Id="rId8" Type="http://schemas.openxmlformats.org/officeDocument/2006/relationships/hyperlink" Target="https://moodle.gustavus.edu/mod/resource/view.php?id=62323" TargetMode="External"/><Relationship Id="rId9" Type="http://schemas.openxmlformats.org/officeDocument/2006/relationships/hyperlink" Target="https://moodle.gustavus.edu/mod/resource/view.php?id=62323" TargetMode="External"/><Relationship Id="rId10" Type="http://schemas.openxmlformats.org/officeDocument/2006/relationships/hyperlink" Target="https://moodle.gustavus.edu/mod/resource/view.php?id=63340" TargetMode="External"/><Relationship Id="rId11" Type="http://schemas.openxmlformats.org/officeDocument/2006/relationships/hyperlink" Target="https://moodle.gustavus.edu/mod/resource/view.php?id=65044" TargetMode="External"/><Relationship Id="rId12" Type="http://schemas.openxmlformats.org/officeDocument/2006/relationships/hyperlink" Target="https://gustavus.edu/general_catalog/21_22/academic_bulletin_21_22.pdf" TargetMode="External"/><Relationship Id="rId13" Type="http://schemas.openxmlformats.org/officeDocument/2006/relationships/hyperlink" Target="https://gustavus.edu/asc/accessibility/" TargetMode="External"/><Relationship Id="rId14" Type="http://schemas.openxmlformats.org/officeDocument/2006/relationships/hyperlink" Target="mailto:codland@gustavus.edu" TargetMode="External"/><Relationship Id="rId15" Type="http://schemas.openxmlformats.org/officeDocument/2006/relationships/hyperlink" Target="https://gustavus.edu/chaplain/multifaith/" TargetMode="External"/><Relationship Id="rId16" Type="http://schemas.openxmlformats.org/officeDocument/2006/relationships/hyperlink" Target="mailto:provostoffice@gustavus.edu" TargetMode="External"/><Relationship Id="rId17" Type="http://schemas.openxmlformats.org/officeDocument/2006/relationships/hyperlink" Target="https://gustavus.edu/cice/" TargetMode="External"/><Relationship Id="rId18" Type="http://schemas.openxmlformats.org/officeDocument/2006/relationships/hyperlink" Target="mailto:ppearson@gustavus.edu" TargetMode="External"/><Relationship Id="rId19" Type="http://schemas.openxmlformats.org/officeDocument/2006/relationships/hyperlink" Target="https://gustavus.edu/writingcenter/" TargetMode="External"/><Relationship Id="rId20" Type="http://schemas.openxmlformats.org/officeDocument/2006/relationships/hyperlink" Target="https://gustavus.edu/counseling/" TargetMode="External"/><Relationship Id="rId21" Type="http://schemas.openxmlformats.org/officeDocument/2006/relationships/hyperlink" Target="https://gustavus.edu/deanofstudents/services/" TargetMode="External"/><Relationship Id="rId22" Type="http://schemas.openxmlformats.org/officeDocument/2006/relationships/hyperlink" Target="https://gustavus.edu/titleix/" TargetMode="External"/><Relationship Id="rId23" Type="http://schemas.openxmlformats.org/officeDocument/2006/relationships/hyperlink" Target="https://gustavus.edu/titleix/" TargetMode="Externa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7</Pages>
  <Words>2213</Words>
  <Characters>12108</Characters>
  <CharactersWithSpaces>14120</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2023-03-24T15:22:09Z</dcterms:created>
  <dc:creator/>
  <dc:description/>
  <dc:language>en-US</dc:language>
  <cp:lastModifiedBy/>
  <dcterms:modified xsi:type="dcterms:W3CDTF">2023-03-24T15:23:22Z</dcterms:modified>
  <cp:revision>1</cp:revision>
  <dc:subject/>
  <dc:title/>
</cp:coreProperties>
</file>