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639A" w14:textId="77777777" w:rsidR="002B4E68" w:rsidRDefault="00000000">
      <w:pPr>
        <w:pStyle w:val="Heading4"/>
      </w:pPr>
      <w:r>
        <w:t>Course information</w:t>
      </w:r>
    </w:p>
    <w:p w14:paraId="20C90515" w14:textId="77777777" w:rsidR="002B4E68" w:rsidRDefault="00000000">
      <w:pPr>
        <w:pStyle w:val="BodyText"/>
      </w:pPr>
      <w:r>
        <w:rPr>
          <w:rStyle w:val="StrongEmphasis"/>
        </w:rPr>
        <w:t>PHY-120-001 (General Physics I)</w:t>
      </w:r>
    </w:p>
    <w:p w14:paraId="5AD4ACF3" w14:textId="77777777" w:rsidR="002B4E68" w:rsidRDefault="00000000">
      <w:pPr>
        <w:pStyle w:val="BodyText"/>
      </w:pPr>
      <w:r>
        <w:rPr>
          <w:rStyle w:val="StrongEmphasis"/>
        </w:rPr>
        <w:t xml:space="preserve">Course prerequisites: </w:t>
      </w:r>
      <w:r>
        <w:t>high school algebra, trigonometry, vectors and some calculus (simple differentiation and integration)</w:t>
      </w:r>
    </w:p>
    <w:p w14:paraId="2BFBDA91" w14:textId="77777777" w:rsidR="002B4E68" w:rsidRDefault="00000000">
      <w:pPr>
        <w:pStyle w:val="BodyText"/>
      </w:pPr>
      <w:r>
        <w:t>Some prior exposure to physics is helpful, but not required</w:t>
      </w:r>
    </w:p>
    <w:p w14:paraId="77FCC2EA" w14:textId="77777777" w:rsidR="002B4E68" w:rsidRDefault="00000000">
      <w:pPr>
        <w:pStyle w:val="BodyText"/>
      </w:pPr>
      <w:r>
        <w:rPr>
          <w:rStyle w:val="StrongEmphasis"/>
        </w:rPr>
        <w:t xml:space="preserve">Instructor: </w:t>
      </w:r>
      <w:r>
        <w:t>Rafid Mahbub</w:t>
      </w:r>
    </w:p>
    <w:p w14:paraId="36CE8DD5" w14:textId="77777777" w:rsidR="002B4E68" w:rsidRDefault="00000000">
      <w:pPr>
        <w:pStyle w:val="BodyText"/>
      </w:pPr>
      <w:r>
        <w:rPr>
          <w:rStyle w:val="StrongEmphasis"/>
        </w:rPr>
        <w:t xml:space="preserve">Office: </w:t>
      </w:r>
      <w:r>
        <w:t>Olin Hall 212</w:t>
      </w:r>
    </w:p>
    <w:p w14:paraId="2D2403EA" w14:textId="77777777" w:rsidR="002B4E68" w:rsidRDefault="00000000">
      <w:pPr>
        <w:pStyle w:val="BodyText"/>
      </w:pPr>
      <w:r>
        <w:rPr>
          <w:rStyle w:val="StrongEmphasis"/>
        </w:rPr>
        <w:t xml:space="preserve">Contact: </w:t>
      </w:r>
      <w:r>
        <w:t>mahbub@gustavus.edu; or talk to me after class; or drop by the office with/without notice (if I'm there)</w:t>
      </w:r>
    </w:p>
    <w:p w14:paraId="59B6F230" w14:textId="77777777" w:rsidR="002B4E68" w:rsidRDefault="00000000">
      <w:pPr>
        <w:pStyle w:val="BodyText"/>
      </w:pPr>
      <w:r>
        <w:rPr>
          <w:rStyle w:val="StrongEmphasis"/>
        </w:rPr>
        <w:t xml:space="preserve">Office hours: </w:t>
      </w:r>
      <w:r>
        <w:t>T W Th F (for an hour after lecture)</w:t>
      </w:r>
    </w:p>
    <w:p w14:paraId="5A75EE88" w14:textId="77777777" w:rsidR="002B4E68" w:rsidRDefault="00000000">
      <w:pPr>
        <w:pStyle w:val="BodyText"/>
      </w:pPr>
      <w:r>
        <w:rPr>
          <w:rStyle w:val="StrongEmphasis"/>
        </w:rPr>
        <w:t xml:space="preserve">Lecture schedule: </w:t>
      </w:r>
      <w:r>
        <w:t xml:space="preserve">Lecture hours are 10:30 am to 11:20 am every </w:t>
      </w:r>
      <w:r>
        <w:rPr>
          <w:rStyle w:val="StrongEmphasis"/>
        </w:rPr>
        <w:t>Monday</w:t>
      </w:r>
      <w:r>
        <w:t xml:space="preserve">, </w:t>
      </w:r>
      <w:r>
        <w:rPr>
          <w:rStyle w:val="StrongEmphasis"/>
        </w:rPr>
        <w:t>Tuesday</w:t>
      </w:r>
      <w:r>
        <w:t xml:space="preserve">, </w:t>
      </w:r>
      <w:r>
        <w:rPr>
          <w:rStyle w:val="StrongEmphasis"/>
        </w:rPr>
        <w:t>Wednesday</w:t>
      </w:r>
      <w:r>
        <w:t xml:space="preserve">, </w:t>
      </w:r>
      <w:r>
        <w:rPr>
          <w:rStyle w:val="StrongEmphasis"/>
        </w:rPr>
        <w:t>Thursday</w:t>
      </w:r>
      <w:r>
        <w:t xml:space="preserve"> and </w:t>
      </w:r>
      <w:r>
        <w:rPr>
          <w:rStyle w:val="StrongEmphasis"/>
        </w:rPr>
        <w:t>Friday</w:t>
      </w:r>
      <w:r>
        <w:t xml:space="preserve"> in </w:t>
      </w:r>
      <w:r>
        <w:rPr>
          <w:rStyle w:val="StrongEmphasis"/>
          <w:u w:val="single"/>
        </w:rPr>
        <w:t>Olin Hall 103</w:t>
      </w:r>
      <w:r>
        <w:t xml:space="preserve">. We will use one (or two) of these lecture days, every week, as discussion-styled group work where you will be solving problems involving topics covered during the week. Group work will always be held on </w:t>
      </w:r>
      <w:r>
        <w:rPr>
          <w:rStyle w:val="StrongEmphasis"/>
        </w:rPr>
        <w:t>Thursdays</w:t>
      </w:r>
      <w:r>
        <w:t xml:space="preserve"> and some </w:t>
      </w:r>
      <w:r>
        <w:rPr>
          <w:rStyle w:val="StrongEmphasis"/>
        </w:rPr>
        <w:t xml:space="preserve">Fridays </w:t>
      </w:r>
      <w:r>
        <w:t xml:space="preserve">as well. </w:t>
      </w:r>
    </w:p>
    <w:p w14:paraId="794CC21A" w14:textId="77777777" w:rsidR="002B4E68" w:rsidRDefault="00000000">
      <w:pPr>
        <w:pStyle w:val="Heading4"/>
      </w:pPr>
      <w:r>
        <w:t>Quiz and final exam information</w:t>
      </w:r>
    </w:p>
    <w:p w14:paraId="10BF5277" w14:textId="77777777" w:rsidR="002B4E68" w:rsidRDefault="00000000">
      <w:pPr>
        <w:pStyle w:val="BodyText"/>
      </w:pPr>
      <w:r>
        <w:t xml:space="preserve">Throughout the semester there will be four quizzes and a final exam. The quizzes will be held on </w:t>
      </w:r>
      <w:r>
        <w:rPr>
          <w:rStyle w:val="StrongEmphasis"/>
        </w:rPr>
        <w:t>Fridays</w:t>
      </w:r>
      <w:r>
        <w:t>. Please refer to the schedule for dates. There will be a two hour final on Friday, December 16 from 8 am to 10 am.</w:t>
      </w:r>
    </w:p>
    <w:p w14:paraId="16CB4BD1" w14:textId="77777777" w:rsidR="002B4E68" w:rsidRDefault="00000000">
      <w:pPr>
        <w:pStyle w:val="Heading4"/>
      </w:pPr>
      <w:r>
        <w:t>Textbooks and references</w:t>
      </w:r>
    </w:p>
    <w:p w14:paraId="10284754" w14:textId="77777777" w:rsidR="002B4E68" w:rsidRDefault="00000000">
      <w:pPr>
        <w:pStyle w:val="BodyText"/>
      </w:pPr>
      <w:r>
        <w:t>For an introductory physics course such as this, many excellent textbooks are available. I will use the following for the course</w:t>
      </w:r>
    </w:p>
    <w:p w14:paraId="7445100B" w14:textId="77777777" w:rsidR="002B4E68" w:rsidRDefault="00000000">
      <w:pPr>
        <w:pStyle w:val="BodyText"/>
        <w:numPr>
          <w:ilvl w:val="0"/>
          <w:numId w:val="1"/>
        </w:numPr>
        <w:tabs>
          <w:tab w:val="left" w:pos="707"/>
        </w:tabs>
        <w:spacing w:after="0"/>
      </w:pPr>
      <w:r>
        <w:t xml:space="preserve">Samuel J. Ling, Jeff Sanny, William Moebs, </w:t>
      </w:r>
      <w:hyperlink r:id="rId5">
        <w:r>
          <w:rPr>
            <w:rStyle w:val="Hyperlink"/>
            <w:i/>
            <w:iCs/>
          </w:rPr>
          <w:t>University Physics Vol. 1</w:t>
        </w:r>
      </w:hyperlink>
      <w:r>
        <w:t>, Openstax</w:t>
      </w:r>
    </w:p>
    <w:p w14:paraId="18856E7C" w14:textId="77777777" w:rsidR="002B4E68" w:rsidRDefault="00000000">
      <w:pPr>
        <w:pStyle w:val="BodyText"/>
        <w:numPr>
          <w:ilvl w:val="0"/>
          <w:numId w:val="1"/>
        </w:numPr>
        <w:tabs>
          <w:tab w:val="left" w:pos="707"/>
        </w:tabs>
        <w:spacing w:after="0"/>
      </w:pPr>
      <w:r>
        <w:t xml:space="preserve">Samuel J. Ling, Jeff Sanny, William Moebs, </w:t>
      </w:r>
      <w:hyperlink r:id="rId6">
        <w:r>
          <w:rPr>
            <w:rStyle w:val="Hyperlink"/>
            <w:i/>
            <w:iCs/>
          </w:rPr>
          <w:t>University Physics Vol. 2</w:t>
        </w:r>
      </w:hyperlink>
      <w:r>
        <w:t>, Openstax</w:t>
      </w:r>
    </w:p>
    <w:p w14:paraId="51EC4185" w14:textId="77777777" w:rsidR="002B4E68" w:rsidRDefault="00000000">
      <w:pPr>
        <w:pStyle w:val="BodyText"/>
        <w:numPr>
          <w:ilvl w:val="0"/>
          <w:numId w:val="1"/>
        </w:numPr>
        <w:tabs>
          <w:tab w:val="left" w:pos="707"/>
        </w:tabs>
      </w:pPr>
      <w:r>
        <w:t xml:space="preserve">Paul A. Tippler, Gene Mosca, </w:t>
      </w:r>
      <w:r>
        <w:rPr>
          <w:rStyle w:val="Emphasis"/>
        </w:rPr>
        <w:t>Physics for Scientists and Engineers</w:t>
      </w:r>
      <w:r>
        <w:t>, W. H. Freeman and Company</w:t>
      </w:r>
    </w:p>
    <w:p w14:paraId="6F9A672D" w14:textId="77777777" w:rsidR="002B4E68" w:rsidRDefault="00000000">
      <w:pPr>
        <w:pStyle w:val="BodyText"/>
      </w:pPr>
      <w:r>
        <w:t>The first two references are a part of Openstax and free to be downloaded. These are very good introductory textbook and will serve well for the course. The third reference is also excellent and is used by the University of Minnesota's physics department for its 'physics for life sciences' courses.</w:t>
      </w:r>
    </w:p>
    <w:p w14:paraId="11751DB7" w14:textId="77777777" w:rsidR="002B4E68" w:rsidRDefault="00000000">
      <w:pPr>
        <w:pStyle w:val="Heading4"/>
      </w:pPr>
      <w:r>
        <w:t>Course goals and objectives</w:t>
      </w:r>
    </w:p>
    <w:p w14:paraId="5501AC67" w14:textId="77777777" w:rsidR="002B4E68" w:rsidRDefault="00000000">
      <w:pPr>
        <w:pStyle w:val="BodyText"/>
      </w:pPr>
      <w:r>
        <w:t xml:space="preserve">After the end of the course, the general expectation is that the students will have learned enough physics to describe phenomena in biology and chemistry using simple laws of physics. I use the term </w:t>
      </w:r>
      <w:r>
        <w:rPr>
          <w:rStyle w:val="Emphasis"/>
        </w:rPr>
        <w:t xml:space="preserve">simple </w:t>
      </w:r>
      <w:r>
        <w:t>since this is an introductory course. Despite the simplicity, the overarching goal of the course is to develop the skills necessary so that the students can describe different phenomena around them using the physics that they have learned in a simple and quantitative fashion.</w:t>
      </w:r>
    </w:p>
    <w:p w14:paraId="3C3FCABA" w14:textId="77777777" w:rsidR="002B4E68" w:rsidRDefault="00000000">
      <w:pPr>
        <w:pStyle w:val="BodyText"/>
      </w:pPr>
      <w:r>
        <w:lastRenderedPageBreak/>
        <w:t xml:space="preserve">To that end, great importance is placed on problem-solving and, more importantly, identifying effectively how certain problems can be solved. We need to bear in mind that what are termed as </w:t>
      </w:r>
      <w:r>
        <w:rPr>
          <w:rStyle w:val="Emphasis"/>
        </w:rPr>
        <w:t xml:space="preserve">problems </w:t>
      </w:r>
      <w:r>
        <w:t>in the context of a regular course are by no means very complicated problems. Such problems take a great deal of time to solve and this is not an international competition which measures the problem-solving skills of students. Rather, what the course, in general, will attempt to do is make you well-versed at using laws of physics (and some maths) to solve problems, making you proficient such that you are able to deal with them when they are scaled up and made more complicated.</w:t>
      </w:r>
    </w:p>
    <w:p w14:paraId="76511D34" w14:textId="77777777" w:rsidR="002B4E68" w:rsidRDefault="00000000">
      <w:pPr>
        <w:pStyle w:val="BodyText"/>
      </w:pPr>
      <w:r>
        <w:t>It is also an expectation that, by the time the course ends, you will be able to communicate ideas and concepts regarding your physical reality in a more scientific and quantitative fashion and, maybe, with a bit of abstraction as well. </w:t>
      </w:r>
    </w:p>
    <w:p w14:paraId="20DA59B7" w14:textId="77777777" w:rsidR="002B4E68" w:rsidRDefault="00000000">
      <w:pPr>
        <w:pStyle w:val="BodyText"/>
      </w:pPr>
      <w:r>
        <w:t>Since this course is aimed towards students of biology and chemistry, it is crucial that the physics is linked with these subjects in a way which appears intuitive without being overwhelming. This is not an easy task to accomplish for an introductory physics course. However, we will attempt to bridge these fields by discussing various phenomena in biology and chemistry through the lens of physics.</w:t>
      </w:r>
    </w:p>
    <w:p w14:paraId="73B084D7" w14:textId="77777777" w:rsidR="002B4E68" w:rsidRDefault="00000000">
      <w:pPr>
        <w:pStyle w:val="BodyText"/>
      </w:pPr>
      <w:r>
        <w:t>Throughout the course, suggested problems will be assigned each week. Although these will not be graded, it is highly recommended that you attempt at solving them since the practice will enable you to perform better on the quizzes and final exam. Moreover, the homework problems will enable you to carry a self-assessment on the kind of progress you are making and whether or not you need additional help.</w:t>
      </w:r>
    </w:p>
    <w:p w14:paraId="55E51142" w14:textId="77777777" w:rsidR="002B4E68" w:rsidRDefault="00000000">
      <w:pPr>
        <w:pStyle w:val="Heading4"/>
      </w:pPr>
      <w:r>
        <w:t>Grading</w:t>
      </w:r>
    </w:p>
    <w:p w14:paraId="4FD3F335" w14:textId="77777777" w:rsidR="002B4E68" w:rsidRDefault="00000000">
      <w:pPr>
        <w:pStyle w:val="BodyText"/>
      </w:pPr>
      <w:r>
        <w:t>The letter grade distributions are given below. This may change in the future depending on how the class performs overall. The overall grade will be broken down as follows</w:t>
      </w:r>
    </w:p>
    <w:p w14:paraId="1126171E" w14:textId="77777777" w:rsidR="002B4E68" w:rsidRDefault="00000000">
      <w:pPr>
        <w:pStyle w:val="BodyText"/>
      </w:pPr>
      <w:r>
        <w:t>Attendance: 5%</w:t>
      </w:r>
    </w:p>
    <w:p w14:paraId="7D518BB9" w14:textId="77777777" w:rsidR="002B4E68" w:rsidRDefault="00000000">
      <w:pPr>
        <w:pStyle w:val="BodyText"/>
      </w:pPr>
      <w:r>
        <w:t>Group-work participation: 5%</w:t>
      </w:r>
    </w:p>
    <w:p w14:paraId="3C6A3064" w14:textId="77777777" w:rsidR="002B4E68" w:rsidRDefault="00000000">
      <w:pPr>
        <w:pStyle w:val="BodyText"/>
      </w:pPr>
      <w:r>
        <w:t>Quizzes: 40%</w:t>
      </w:r>
    </w:p>
    <w:p w14:paraId="50CF53A7" w14:textId="77777777" w:rsidR="002B4E68" w:rsidRDefault="00000000">
      <w:pPr>
        <w:pStyle w:val="BodyText"/>
      </w:pPr>
      <w:r>
        <w:t>Final: 50%</w:t>
      </w:r>
    </w:p>
    <w:tbl>
      <w:tblPr>
        <w:tblW w:w="1036" w:type="dxa"/>
        <w:tblInd w:w="28" w:type="dxa"/>
        <w:tblCellMar>
          <w:top w:w="28" w:type="dxa"/>
          <w:left w:w="28" w:type="dxa"/>
          <w:bottom w:w="28" w:type="dxa"/>
          <w:right w:w="28" w:type="dxa"/>
        </w:tblCellMar>
        <w:tblLook w:val="0000" w:firstRow="0" w:lastRow="0" w:firstColumn="0" w:lastColumn="0" w:noHBand="0" w:noVBand="0"/>
      </w:tblPr>
      <w:tblGrid>
        <w:gridCol w:w="283"/>
        <w:gridCol w:w="75"/>
        <w:gridCol w:w="643"/>
        <w:gridCol w:w="35"/>
      </w:tblGrid>
      <w:tr w:rsidR="002B4E68" w14:paraId="042496F1" w14:textId="77777777">
        <w:trPr>
          <w:gridAfter w:val="1"/>
          <w:wAfter w:w="46" w:type="dxa"/>
          <w:tblHeader/>
        </w:trPr>
        <w:tc>
          <w:tcPr>
            <w:tcW w:w="301" w:type="dxa"/>
            <w:vAlign w:val="center"/>
          </w:tcPr>
          <w:p w14:paraId="3CC91A04" w14:textId="77777777" w:rsidR="002B4E68" w:rsidRDefault="00000000">
            <w:pPr>
              <w:pStyle w:val="TableHeading"/>
              <w:rPr>
                <w:b w:val="0"/>
              </w:rPr>
            </w:pPr>
            <w:r>
              <w:rPr>
                <w:b w:val="0"/>
              </w:rPr>
              <w:t>A</w:t>
            </w:r>
          </w:p>
        </w:tc>
        <w:tc>
          <w:tcPr>
            <w:tcW w:w="735" w:type="dxa"/>
            <w:gridSpan w:val="2"/>
            <w:vAlign w:val="center"/>
          </w:tcPr>
          <w:p w14:paraId="09F7D7F5" w14:textId="77777777" w:rsidR="002B4E68" w:rsidRDefault="00000000">
            <w:pPr>
              <w:pStyle w:val="TableHeading"/>
              <w:rPr>
                <w:b w:val="0"/>
              </w:rPr>
            </w:pPr>
            <w:bookmarkStart w:id="0" w:name="MathJax-Element-1-Frame"/>
            <w:bookmarkStart w:id="1" w:name="MathJax-Span-1"/>
            <w:bookmarkStart w:id="2" w:name="MathJax-Span-2"/>
            <w:bookmarkStart w:id="3" w:name="MathJax-Span-3"/>
            <w:bookmarkEnd w:id="0"/>
            <w:bookmarkEnd w:id="1"/>
            <w:bookmarkEnd w:id="2"/>
            <w:bookmarkEnd w:id="3"/>
            <w:r>
              <w:rPr>
                <w:rFonts w:ascii="STIXGeneral" w:hAnsi="STIXGeneral"/>
                <w:b w:val="0"/>
              </w:rPr>
              <w:t>&gt;</w:t>
            </w:r>
            <w:bookmarkStart w:id="4" w:name="MathJax-Span-4"/>
            <w:bookmarkEnd w:id="4"/>
            <w:r>
              <w:rPr>
                <w:rFonts w:ascii="STIXGeneral" w:hAnsi="STIXGeneral"/>
                <w:b w:val="0"/>
              </w:rPr>
              <w:t>90</w:t>
            </w:r>
            <w:bookmarkStart w:id="5" w:name="MathJax-Span-5"/>
            <w:bookmarkEnd w:id="5"/>
            <w:r>
              <w:rPr>
                <w:rFonts w:ascii="STIXGeneral" w:hAnsi="STIXGeneral"/>
                <w:b w:val="0"/>
              </w:rPr>
              <w:t>%</w:t>
            </w:r>
          </w:p>
        </w:tc>
      </w:tr>
      <w:tr w:rsidR="002B4E68" w14:paraId="3C01EE3F" w14:textId="77777777">
        <w:trPr>
          <w:tblHeader/>
        </w:trPr>
        <w:tc>
          <w:tcPr>
            <w:tcW w:w="376" w:type="dxa"/>
            <w:gridSpan w:val="2"/>
            <w:vAlign w:val="center"/>
          </w:tcPr>
          <w:p w14:paraId="0ABF533A" w14:textId="77777777" w:rsidR="002B4E68" w:rsidRDefault="00000000">
            <w:pPr>
              <w:pStyle w:val="TableHeading"/>
            </w:pPr>
            <w:r>
              <w:t> </w:t>
            </w:r>
          </w:p>
        </w:tc>
        <w:tc>
          <w:tcPr>
            <w:tcW w:w="706" w:type="dxa"/>
            <w:gridSpan w:val="2"/>
          </w:tcPr>
          <w:p w14:paraId="68E889F8" w14:textId="77777777" w:rsidR="002B4E68" w:rsidRDefault="002B4E68">
            <w:pPr>
              <w:pStyle w:val="TableContents"/>
              <w:rPr>
                <w:sz w:val="4"/>
                <w:szCs w:val="4"/>
              </w:rPr>
            </w:pPr>
          </w:p>
        </w:tc>
      </w:tr>
      <w:tr w:rsidR="002B4E68" w14:paraId="22A1E53F" w14:textId="77777777">
        <w:tc>
          <w:tcPr>
            <w:tcW w:w="376" w:type="dxa"/>
            <w:gridSpan w:val="2"/>
            <w:vAlign w:val="center"/>
          </w:tcPr>
          <w:p w14:paraId="311DCA18" w14:textId="77777777" w:rsidR="002B4E68" w:rsidRDefault="00000000">
            <w:pPr>
              <w:pStyle w:val="TableContents"/>
            </w:pPr>
            <w:r>
              <w:t>A-</w:t>
            </w:r>
          </w:p>
        </w:tc>
        <w:tc>
          <w:tcPr>
            <w:tcW w:w="706" w:type="dxa"/>
            <w:gridSpan w:val="2"/>
            <w:vAlign w:val="center"/>
          </w:tcPr>
          <w:p w14:paraId="5EDEC113" w14:textId="77777777" w:rsidR="002B4E68" w:rsidRDefault="00000000">
            <w:pPr>
              <w:pStyle w:val="TableContents"/>
            </w:pPr>
            <w:bookmarkStart w:id="6" w:name="MathJax-Element-2-Frame"/>
            <w:bookmarkStart w:id="7" w:name="MathJax-Span-6"/>
            <w:bookmarkStart w:id="8" w:name="MathJax-Span-7"/>
            <w:bookmarkStart w:id="9" w:name="MathJax-Span-8"/>
            <w:bookmarkEnd w:id="6"/>
            <w:bookmarkEnd w:id="7"/>
            <w:bookmarkEnd w:id="8"/>
            <w:bookmarkEnd w:id="9"/>
            <w:r>
              <w:t>≥</w:t>
            </w:r>
            <w:bookmarkStart w:id="10" w:name="MathJax-Span-9"/>
            <w:bookmarkEnd w:id="10"/>
            <w:r>
              <w:rPr>
                <w:rFonts w:ascii="STIXGeneral" w:hAnsi="STIXGeneral"/>
              </w:rPr>
              <w:t>85</w:t>
            </w:r>
            <w:bookmarkStart w:id="11" w:name="MathJax-Span-10"/>
            <w:bookmarkEnd w:id="11"/>
            <w:r>
              <w:rPr>
                <w:rFonts w:ascii="STIXGeneral" w:hAnsi="STIXGeneral"/>
              </w:rPr>
              <w:t>%</w:t>
            </w:r>
          </w:p>
        </w:tc>
      </w:tr>
    </w:tbl>
    <w:p w14:paraId="37E47894" w14:textId="77777777" w:rsidR="002B4E68" w:rsidRDefault="00000000">
      <w:pPr>
        <w:pStyle w:val="BodyText"/>
        <w:spacing w:after="0"/>
      </w:pPr>
      <w:r>
        <w:t>to </w:t>
      </w:r>
      <w:bookmarkStart w:id="12" w:name="MathJax-Element-3-Frame"/>
      <w:bookmarkStart w:id="13" w:name="MathJax-Span-11"/>
      <w:bookmarkStart w:id="14" w:name="MathJax-Span-12"/>
      <w:bookmarkStart w:id="15" w:name="MathJax-Span-13"/>
      <w:bookmarkEnd w:id="12"/>
      <w:bookmarkEnd w:id="13"/>
      <w:bookmarkEnd w:id="14"/>
      <w:bookmarkEnd w:id="15"/>
      <w:r>
        <w:rPr>
          <w:rFonts w:ascii="STIXGeneral" w:hAnsi="STIXGeneral"/>
        </w:rPr>
        <w:t>&lt;</w:t>
      </w:r>
      <w:bookmarkStart w:id="16" w:name="MathJax-Span-14"/>
      <w:bookmarkEnd w:id="16"/>
      <w:r>
        <w:rPr>
          <w:rFonts w:ascii="STIXGeneral" w:hAnsi="STIXGeneral"/>
        </w:rPr>
        <w:t>90</w:t>
      </w:r>
      <w:bookmarkStart w:id="17" w:name="MathJax-Span-15"/>
      <w:bookmarkEnd w:id="17"/>
      <w:r>
        <w:rPr>
          <w:rFonts w:ascii="STIXGeneral" w:hAnsi="STIXGeneral"/>
        </w:rPr>
        <w:t>%</w:t>
      </w:r>
    </w:p>
    <w:tbl>
      <w:tblPr>
        <w:tblW w:w="1127" w:type="dxa"/>
        <w:tblInd w:w="28" w:type="dxa"/>
        <w:tblCellMar>
          <w:top w:w="28" w:type="dxa"/>
          <w:left w:w="28" w:type="dxa"/>
          <w:bottom w:w="28" w:type="dxa"/>
          <w:right w:w="28" w:type="dxa"/>
        </w:tblCellMar>
        <w:tblLook w:val="0000" w:firstRow="0" w:lastRow="0" w:firstColumn="0" w:lastColumn="0" w:noHBand="0" w:noVBand="0"/>
      </w:tblPr>
      <w:tblGrid>
        <w:gridCol w:w="421"/>
        <w:gridCol w:w="706"/>
      </w:tblGrid>
      <w:tr w:rsidR="002B4E68" w14:paraId="1615CDB8" w14:textId="77777777">
        <w:tc>
          <w:tcPr>
            <w:tcW w:w="421" w:type="dxa"/>
            <w:vAlign w:val="center"/>
          </w:tcPr>
          <w:p w14:paraId="52F2A5AC" w14:textId="77777777" w:rsidR="002B4E68" w:rsidRDefault="00000000">
            <w:pPr>
              <w:pStyle w:val="TableContents"/>
            </w:pPr>
            <w:r>
              <w:t> </w:t>
            </w:r>
          </w:p>
        </w:tc>
        <w:tc>
          <w:tcPr>
            <w:tcW w:w="706" w:type="dxa"/>
          </w:tcPr>
          <w:p w14:paraId="41CAA481" w14:textId="77777777" w:rsidR="002B4E68" w:rsidRDefault="002B4E68">
            <w:pPr>
              <w:pStyle w:val="TableContents"/>
              <w:rPr>
                <w:sz w:val="4"/>
                <w:szCs w:val="4"/>
              </w:rPr>
            </w:pPr>
          </w:p>
        </w:tc>
      </w:tr>
      <w:tr w:rsidR="002B4E68" w14:paraId="13E4B6ED" w14:textId="77777777">
        <w:tc>
          <w:tcPr>
            <w:tcW w:w="421" w:type="dxa"/>
            <w:vAlign w:val="center"/>
          </w:tcPr>
          <w:p w14:paraId="5D81D20D" w14:textId="77777777" w:rsidR="002B4E68" w:rsidRDefault="00000000">
            <w:pPr>
              <w:pStyle w:val="TableContents"/>
            </w:pPr>
            <w:r>
              <w:t>B+</w:t>
            </w:r>
          </w:p>
        </w:tc>
        <w:tc>
          <w:tcPr>
            <w:tcW w:w="706" w:type="dxa"/>
            <w:vAlign w:val="center"/>
          </w:tcPr>
          <w:p w14:paraId="58641E21" w14:textId="77777777" w:rsidR="002B4E68" w:rsidRDefault="00000000">
            <w:pPr>
              <w:pStyle w:val="TableContents"/>
            </w:pPr>
            <w:bookmarkStart w:id="18" w:name="MathJax-Element-4-Frame"/>
            <w:bookmarkStart w:id="19" w:name="MathJax-Span-16"/>
            <w:bookmarkStart w:id="20" w:name="MathJax-Span-17"/>
            <w:bookmarkStart w:id="21" w:name="MathJax-Span-18"/>
            <w:bookmarkEnd w:id="18"/>
            <w:bookmarkEnd w:id="19"/>
            <w:bookmarkEnd w:id="20"/>
            <w:bookmarkEnd w:id="21"/>
            <w:r>
              <w:t>≥</w:t>
            </w:r>
            <w:bookmarkStart w:id="22" w:name="MathJax-Span-19"/>
            <w:bookmarkEnd w:id="22"/>
            <w:r>
              <w:rPr>
                <w:rFonts w:ascii="STIXGeneral" w:hAnsi="STIXGeneral"/>
              </w:rPr>
              <w:t>80</w:t>
            </w:r>
            <w:bookmarkStart w:id="23" w:name="MathJax-Span-20"/>
            <w:bookmarkEnd w:id="23"/>
            <w:r>
              <w:rPr>
                <w:rFonts w:ascii="STIXGeneral" w:hAnsi="STIXGeneral"/>
              </w:rPr>
              <w:t>%</w:t>
            </w:r>
          </w:p>
        </w:tc>
      </w:tr>
    </w:tbl>
    <w:p w14:paraId="484A5AE5" w14:textId="77777777" w:rsidR="002B4E68" w:rsidRDefault="00000000">
      <w:pPr>
        <w:pStyle w:val="BodyText"/>
        <w:spacing w:after="0"/>
      </w:pPr>
      <w:r>
        <w:t xml:space="preserve">to </w:t>
      </w:r>
      <w:bookmarkStart w:id="24" w:name="MathJax-Element-5-Frame"/>
      <w:bookmarkStart w:id="25" w:name="MathJax-Span-21"/>
      <w:bookmarkStart w:id="26" w:name="MathJax-Span-22"/>
      <w:bookmarkStart w:id="27" w:name="MathJax-Span-23"/>
      <w:bookmarkEnd w:id="24"/>
      <w:bookmarkEnd w:id="25"/>
      <w:bookmarkEnd w:id="26"/>
      <w:bookmarkEnd w:id="27"/>
      <w:r>
        <w:rPr>
          <w:rFonts w:ascii="STIXGeneral" w:hAnsi="STIXGeneral"/>
        </w:rPr>
        <w:t>&lt;</w:t>
      </w:r>
      <w:bookmarkStart w:id="28" w:name="MathJax-Span-24"/>
      <w:bookmarkEnd w:id="28"/>
      <w:r>
        <w:rPr>
          <w:rFonts w:ascii="STIXGeneral" w:hAnsi="STIXGeneral"/>
        </w:rPr>
        <w:t>85</w:t>
      </w:r>
      <w:bookmarkStart w:id="29" w:name="MathJax-Span-25"/>
      <w:bookmarkEnd w:id="29"/>
      <w:r>
        <w:rPr>
          <w:rFonts w:ascii="STIXGeneral" w:hAnsi="STIXGeneral"/>
        </w:rPr>
        <w:t>%</w:t>
      </w:r>
    </w:p>
    <w:tbl>
      <w:tblPr>
        <w:tblW w:w="992" w:type="dxa"/>
        <w:tblInd w:w="28" w:type="dxa"/>
        <w:tblCellMar>
          <w:top w:w="28" w:type="dxa"/>
          <w:left w:w="28" w:type="dxa"/>
          <w:bottom w:w="28" w:type="dxa"/>
          <w:right w:w="28" w:type="dxa"/>
        </w:tblCellMar>
        <w:tblLook w:val="0000" w:firstRow="0" w:lastRow="0" w:firstColumn="0" w:lastColumn="0" w:noHBand="0" w:noVBand="0"/>
      </w:tblPr>
      <w:tblGrid>
        <w:gridCol w:w="286"/>
        <w:gridCol w:w="706"/>
      </w:tblGrid>
      <w:tr w:rsidR="002B4E68" w14:paraId="28CEFDDF" w14:textId="77777777">
        <w:tc>
          <w:tcPr>
            <w:tcW w:w="286" w:type="dxa"/>
            <w:vAlign w:val="center"/>
          </w:tcPr>
          <w:p w14:paraId="678DD0E4" w14:textId="77777777" w:rsidR="002B4E68" w:rsidRDefault="002B4E68">
            <w:pPr>
              <w:pStyle w:val="TableContents"/>
              <w:rPr>
                <w:sz w:val="4"/>
                <w:szCs w:val="4"/>
              </w:rPr>
            </w:pPr>
          </w:p>
        </w:tc>
        <w:tc>
          <w:tcPr>
            <w:tcW w:w="706" w:type="dxa"/>
          </w:tcPr>
          <w:p w14:paraId="4693A287" w14:textId="77777777" w:rsidR="002B4E68" w:rsidRDefault="002B4E68">
            <w:pPr>
              <w:pStyle w:val="TableContents"/>
              <w:rPr>
                <w:sz w:val="4"/>
                <w:szCs w:val="4"/>
              </w:rPr>
            </w:pPr>
          </w:p>
        </w:tc>
      </w:tr>
      <w:tr w:rsidR="002B4E68" w14:paraId="5CBD1E91" w14:textId="77777777">
        <w:tc>
          <w:tcPr>
            <w:tcW w:w="286" w:type="dxa"/>
            <w:vAlign w:val="center"/>
          </w:tcPr>
          <w:p w14:paraId="27EE0BE9" w14:textId="77777777" w:rsidR="002B4E68" w:rsidRDefault="00000000">
            <w:pPr>
              <w:pStyle w:val="TableContents"/>
            </w:pPr>
            <w:r>
              <w:t>B</w:t>
            </w:r>
          </w:p>
        </w:tc>
        <w:tc>
          <w:tcPr>
            <w:tcW w:w="706" w:type="dxa"/>
            <w:vAlign w:val="center"/>
          </w:tcPr>
          <w:p w14:paraId="724BB073" w14:textId="77777777" w:rsidR="002B4E68" w:rsidRDefault="00000000">
            <w:pPr>
              <w:pStyle w:val="TableContents"/>
            </w:pPr>
            <w:bookmarkStart w:id="30" w:name="MathJax-Element-6-Frame"/>
            <w:bookmarkStart w:id="31" w:name="MathJax-Span-26"/>
            <w:bookmarkStart w:id="32" w:name="MathJax-Span-27"/>
            <w:bookmarkStart w:id="33" w:name="MathJax-Span-28"/>
            <w:bookmarkEnd w:id="30"/>
            <w:bookmarkEnd w:id="31"/>
            <w:bookmarkEnd w:id="32"/>
            <w:bookmarkEnd w:id="33"/>
            <w:r>
              <w:t>≥</w:t>
            </w:r>
            <w:bookmarkStart w:id="34" w:name="MathJax-Span-29"/>
            <w:bookmarkEnd w:id="34"/>
            <w:r>
              <w:rPr>
                <w:rFonts w:ascii="STIXGeneral" w:hAnsi="STIXGeneral"/>
              </w:rPr>
              <w:t>75</w:t>
            </w:r>
            <w:bookmarkStart w:id="35" w:name="MathJax-Span-30"/>
            <w:bookmarkEnd w:id="35"/>
            <w:r>
              <w:rPr>
                <w:rFonts w:ascii="STIXGeneral" w:hAnsi="STIXGeneral"/>
              </w:rPr>
              <w:t>%</w:t>
            </w:r>
          </w:p>
        </w:tc>
      </w:tr>
    </w:tbl>
    <w:p w14:paraId="5E4A8501" w14:textId="77777777" w:rsidR="002B4E68" w:rsidRDefault="00000000">
      <w:pPr>
        <w:pStyle w:val="BodyText"/>
        <w:spacing w:after="0"/>
      </w:pPr>
      <w:r>
        <w:t xml:space="preserve">to </w:t>
      </w:r>
      <w:bookmarkStart w:id="36" w:name="MathJax-Element-7-Frame"/>
      <w:bookmarkStart w:id="37" w:name="MathJax-Span-31"/>
      <w:bookmarkStart w:id="38" w:name="MathJax-Span-32"/>
      <w:bookmarkStart w:id="39" w:name="MathJax-Span-33"/>
      <w:bookmarkEnd w:id="36"/>
      <w:bookmarkEnd w:id="37"/>
      <w:bookmarkEnd w:id="38"/>
      <w:bookmarkEnd w:id="39"/>
      <w:r>
        <w:rPr>
          <w:rFonts w:ascii="STIXGeneral" w:hAnsi="STIXGeneral"/>
        </w:rPr>
        <w:t>&lt;</w:t>
      </w:r>
      <w:bookmarkStart w:id="40" w:name="MathJax-Span-34"/>
      <w:bookmarkEnd w:id="40"/>
      <w:r>
        <w:rPr>
          <w:rFonts w:ascii="STIXGeneral" w:hAnsi="STIXGeneral"/>
        </w:rPr>
        <w:t>80</w:t>
      </w:r>
      <w:bookmarkStart w:id="41" w:name="MathJax-Span-35"/>
      <w:bookmarkEnd w:id="41"/>
      <w:r>
        <w:rPr>
          <w:rFonts w:ascii="STIXGeneral" w:hAnsi="STIXGeneral"/>
        </w:rPr>
        <w:t>%</w:t>
      </w:r>
    </w:p>
    <w:tbl>
      <w:tblPr>
        <w:tblW w:w="1067" w:type="dxa"/>
        <w:tblInd w:w="28" w:type="dxa"/>
        <w:tblCellMar>
          <w:top w:w="28" w:type="dxa"/>
          <w:left w:w="28" w:type="dxa"/>
          <w:bottom w:w="28" w:type="dxa"/>
          <w:right w:w="28" w:type="dxa"/>
        </w:tblCellMar>
        <w:tblLook w:val="0000" w:firstRow="0" w:lastRow="0" w:firstColumn="0" w:lastColumn="0" w:noHBand="0" w:noVBand="0"/>
      </w:tblPr>
      <w:tblGrid>
        <w:gridCol w:w="361"/>
        <w:gridCol w:w="706"/>
      </w:tblGrid>
      <w:tr w:rsidR="002B4E68" w14:paraId="55E09CA4" w14:textId="77777777">
        <w:tc>
          <w:tcPr>
            <w:tcW w:w="361" w:type="dxa"/>
            <w:vAlign w:val="center"/>
          </w:tcPr>
          <w:p w14:paraId="6BDD5984" w14:textId="77777777" w:rsidR="002B4E68" w:rsidRDefault="002B4E68">
            <w:pPr>
              <w:pStyle w:val="TableContents"/>
              <w:rPr>
                <w:sz w:val="4"/>
                <w:szCs w:val="4"/>
              </w:rPr>
            </w:pPr>
          </w:p>
        </w:tc>
        <w:tc>
          <w:tcPr>
            <w:tcW w:w="706" w:type="dxa"/>
          </w:tcPr>
          <w:p w14:paraId="25C01B36" w14:textId="77777777" w:rsidR="002B4E68" w:rsidRDefault="002B4E68">
            <w:pPr>
              <w:pStyle w:val="TableContents"/>
              <w:rPr>
                <w:sz w:val="4"/>
                <w:szCs w:val="4"/>
              </w:rPr>
            </w:pPr>
          </w:p>
        </w:tc>
      </w:tr>
      <w:tr w:rsidR="002B4E68" w14:paraId="0DDDA4F7" w14:textId="77777777">
        <w:tc>
          <w:tcPr>
            <w:tcW w:w="361" w:type="dxa"/>
            <w:vAlign w:val="center"/>
          </w:tcPr>
          <w:p w14:paraId="24E617FF" w14:textId="77777777" w:rsidR="002B4E68" w:rsidRDefault="00000000">
            <w:pPr>
              <w:pStyle w:val="TableContents"/>
            </w:pPr>
            <w:r>
              <w:t>B-</w:t>
            </w:r>
          </w:p>
        </w:tc>
        <w:tc>
          <w:tcPr>
            <w:tcW w:w="706" w:type="dxa"/>
            <w:vAlign w:val="center"/>
          </w:tcPr>
          <w:p w14:paraId="2A335200" w14:textId="77777777" w:rsidR="002B4E68" w:rsidRDefault="00000000">
            <w:pPr>
              <w:pStyle w:val="TableContents"/>
            </w:pPr>
            <w:bookmarkStart w:id="42" w:name="MathJax-Element-8-Frame"/>
            <w:bookmarkStart w:id="43" w:name="MathJax-Span-36"/>
            <w:bookmarkStart w:id="44" w:name="MathJax-Span-37"/>
            <w:bookmarkStart w:id="45" w:name="MathJax-Span-38"/>
            <w:bookmarkEnd w:id="42"/>
            <w:bookmarkEnd w:id="43"/>
            <w:bookmarkEnd w:id="44"/>
            <w:bookmarkEnd w:id="45"/>
            <w:r>
              <w:t>≥</w:t>
            </w:r>
            <w:bookmarkStart w:id="46" w:name="MathJax-Span-39"/>
            <w:bookmarkEnd w:id="46"/>
            <w:r>
              <w:rPr>
                <w:rFonts w:ascii="STIXGeneral" w:hAnsi="STIXGeneral"/>
              </w:rPr>
              <w:t>70</w:t>
            </w:r>
            <w:bookmarkStart w:id="47" w:name="MathJax-Span-40"/>
            <w:bookmarkEnd w:id="47"/>
            <w:r>
              <w:rPr>
                <w:rFonts w:ascii="STIXGeneral" w:hAnsi="STIXGeneral"/>
              </w:rPr>
              <w:t>%</w:t>
            </w:r>
          </w:p>
        </w:tc>
      </w:tr>
    </w:tbl>
    <w:p w14:paraId="0B0E5ED7" w14:textId="77777777" w:rsidR="002B4E68" w:rsidRDefault="00000000">
      <w:pPr>
        <w:pStyle w:val="BodyText"/>
        <w:spacing w:after="0"/>
      </w:pPr>
      <w:r>
        <w:t xml:space="preserve">to </w:t>
      </w:r>
      <w:bookmarkStart w:id="48" w:name="MathJax-Element-9-Frame"/>
      <w:bookmarkStart w:id="49" w:name="MathJax-Span-41"/>
      <w:bookmarkStart w:id="50" w:name="MathJax-Span-42"/>
      <w:bookmarkStart w:id="51" w:name="MathJax-Span-43"/>
      <w:bookmarkEnd w:id="48"/>
      <w:bookmarkEnd w:id="49"/>
      <w:bookmarkEnd w:id="50"/>
      <w:bookmarkEnd w:id="51"/>
      <w:r>
        <w:rPr>
          <w:rFonts w:ascii="STIXGeneral" w:hAnsi="STIXGeneral"/>
        </w:rPr>
        <w:t>&lt;</w:t>
      </w:r>
      <w:bookmarkStart w:id="52" w:name="MathJax-Span-44"/>
      <w:bookmarkEnd w:id="52"/>
      <w:r>
        <w:rPr>
          <w:rFonts w:ascii="STIXGeneral" w:hAnsi="STIXGeneral"/>
        </w:rPr>
        <w:t>75</w:t>
      </w:r>
      <w:bookmarkStart w:id="53" w:name="MathJax-Span-45"/>
      <w:bookmarkEnd w:id="53"/>
      <w:r>
        <w:rPr>
          <w:rFonts w:ascii="STIXGeneral" w:hAnsi="STIXGeneral"/>
        </w:rPr>
        <w:t>%</w:t>
      </w:r>
    </w:p>
    <w:tbl>
      <w:tblPr>
        <w:tblW w:w="1127" w:type="dxa"/>
        <w:tblInd w:w="28" w:type="dxa"/>
        <w:tblCellMar>
          <w:top w:w="28" w:type="dxa"/>
          <w:left w:w="28" w:type="dxa"/>
          <w:bottom w:w="28" w:type="dxa"/>
          <w:right w:w="28" w:type="dxa"/>
        </w:tblCellMar>
        <w:tblLook w:val="0000" w:firstRow="0" w:lastRow="0" w:firstColumn="0" w:lastColumn="0" w:noHBand="0" w:noVBand="0"/>
      </w:tblPr>
      <w:tblGrid>
        <w:gridCol w:w="421"/>
        <w:gridCol w:w="706"/>
      </w:tblGrid>
      <w:tr w:rsidR="002B4E68" w14:paraId="10FF30C3" w14:textId="77777777">
        <w:tc>
          <w:tcPr>
            <w:tcW w:w="421" w:type="dxa"/>
            <w:vAlign w:val="center"/>
          </w:tcPr>
          <w:p w14:paraId="4159200B" w14:textId="77777777" w:rsidR="002B4E68" w:rsidRDefault="002B4E68">
            <w:pPr>
              <w:pStyle w:val="TableContents"/>
              <w:rPr>
                <w:sz w:val="4"/>
                <w:szCs w:val="4"/>
              </w:rPr>
            </w:pPr>
          </w:p>
        </w:tc>
        <w:tc>
          <w:tcPr>
            <w:tcW w:w="706" w:type="dxa"/>
          </w:tcPr>
          <w:p w14:paraId="132F19D8" w14:textId="77777777" w:rsidR="002B4E68" w:rsidRDefault="002B4E68">
            <w:pPr>
              <w:pStyle w:val="TableContents"/>
              <w:rPr>
                <w:sz w:val="4"/>
                <w:szCs w:val="4"/>
              </w:rPr>
            </w:pPr>
          </w:p>
        </w:tc>
      </w:tr>
      <w:tr w:rsidR="002B4E68" w14:paraId="231918E4" w14:textId="77777777">
        <w:tc>
          <w:tcPr>
            <w:tcW w:w="421" w:type="dxa"/>
            <w:vAlign w:val="center"/>
          </w:tcPr>
          <w:p w14:paraId="28FE72A5" w14:textId="77777777" w:rsidR="002B4E68" w:rsidRDefault="00000000">
            <w:pPr>
              <w:pStyle w:val="TableContents"/>
            </w:pPr>
            <w:r>
              <w:t>C+</w:t>
            </w:r>
          </w:p>
        </w:tc>
        <w:tc>
          <w:tcPr>
            <w:tcW w:w="706" w:type="dxa"/>
            <w:vAlign w:val="center"/>
          </w:tcPr>
          <w:p w14:paraId="4480FA8F" w14:textId="77777777" w:rsidR="002B4E68" w:rsidRDefault="00000000">
            <w:pPr>
              <w:pStyle w:val="TableContents"/>
            </w:pPr>
            <w:bookmarkStart w:id="54" w:name="MathJax-Element-10-Frame"/>
            <w:bookmarkStart w:id="55" w:name="MathJax-Span-46"/>
            <w:bookmarkStart w:id="56" w:name="MathJax-Span-47"/>
            <w:bookmarkStart w:id="57" w:name="MathJax-Span-48"/>
            <w:bookmarkEnd w:id="54"/>
            <w:bookmarkEnd w:id="55"/>
            <w:bookmarkEnd w:id="56"/>
            <w:bookmarkEnd w:id="57"/>
            <w:r>
              <w:t>≥</w:t>
            </w:r>
            <w:bookmarkStart w:id="58" w:name="MathJax-Span-49"/>
            <w:bookmarkEnd w:id="58"/>
            <w:r>
              <w:rPr>
                <w:rFonts w:ascii="STIXGeneral" w:hAnsi="STIXGeneral"/>
              </w:rPr>
              <w:t>65</w:t>
            </w:r>
            <w:bookmarkStart w:id="59" w:name="MathJax-Span-50"/>
            <w:bookmarkEnd w:id="59"/>
            <w:r>
              <w:rPr>
                <w:rFonts w:ascii="STIXGeneral" w:hAnsi="STIXGeneral"/>
              </w:rPr>
              <w:t>%</w:t>
            </w:r>
          </w:p>
        </w:tc>
      </w:tr>
    </w:tbl>
    <w:p w14:paraId="14DCAD9C" w14:textId="77777777" w:rsidR="002B4E68" w:rsidRDefault="00000000">
      <w:pPr>
        <w:pStyle w:val="BodyText"/>
        <w:spacing w:after="0"/>
      </w:pPr>
      <w:r>
        <w:t xml:space="preserve">to </w:t>
      </w:r>
      <w:bookmarkStart w:id="60" w:name="MathJax-Element-11-Frame"/>
      <w:bookmarkStart w:id="61" w:name="MathJax-Span-51"/>
      <w:bookmarkStart w:id="62" w:name="MathJax-Span-52"/>
      <w:bookmarkStart w:id="63" w:name="MathJax-Span-53"/>
      <w:bookmarkEnd w:id="60"/>
      <w:bookmarkEnd w:id="61"/>
      <w:bookmarkEnd w:id="62"/>
      <w:bookmarkEnd w:id="63"/>
      <w:r>
        <w:rPr>
          <w:rFonts w:ascii="STIXGeneral" w:hAnsi="STIXGeneral"/>
        </w:rPr>
        <w:t>&lt;</w:t>
      </w:r>
      <w:bookmarkStart w:id="64" w:name="MathJax-Span-54"/>
      <w:bookmarkEnd w:id="64"/>
      <w:r>
        <w:rPr>
          <w:rFonts w:ascii="STIXGeneral" w:hAnsi="STIXGeneral"/>
        </w:rPr>
        <w:t>70</w:t>
      </w:r>
      <w:bookmarkStart w:id="65" w:name="MathJax-Span-55"/>
      <w:bookmarkEnd w:id="65"/>
      <w:r>
        <w:rPr>
          <w:rFonts w:ascii="STIXGeneral" w:hAnsi="STIXGeneral"/>
        </w:rPr>
        <w:t>%</w:t>
      </w:r>
    </w:p>
    <w:tbl>
      <w:tblPr>
        <w:tblW w:w="992" w:type="dxa"/>
        <w:tblInd w:w="28" w:type="dxa"/>
        <w:tblCellMar>
          <w:top w:w="28" w:type="dxa"/>
          <w:left w:w="28" w:type="dxa"/>
          <w:bottom w:w="28" w:type="dxa"/>
          <w:right w:w="28" w:type="dxa"/>
        </w:tblCellMar>
        <w:tblLook w:val="0000" w:firstRow="0" w:lastRow="0" w:firstColumn="0" w:lastColumn="0" w:noHBand="0" w:noVBand="0"/>
      </w:tblPr>
      <w:tblGrid>
        <w:gridCol w:w="286"/>
        <w:gridCol w:w="706"/>
      </w:tblGrid>
      <w:tr w:rsidR="002B4E68" w14:paraId="1FE88A30" w14:textId="77777777">
        <w:tc>
          <w:tcPr>
            <w:tcW w:w="286" w:type="dxa"/>
            <w:vAlign w:val="center"/>
          </w:tcPr>
          <w:p w14:paraId="70FCF7C9" w14:textId="77777777" w:rsidR="002B4E68" w:rsidRDefault="002B4E68">
            <w:pPr>
              <w:pStyle w:val="TableContents"/>
              <w:rPr>
                <w:sz w:val="4"/>
                <w:szCs w:val="4"/>
              </w:rPr>
            </w:pPr>
          </w:p>
        </w:tc>
        <w:tc>
          <w:tcPr>
            <w:tcW w:w="706" w:type="dxa"/>
          </w:tcPr>
          <w:p w14:paraId="33BACA1D" w14:textId="77777777" w:rsidR="002B4E68" w:rsidRDefault="002B4E68">
            <w:pPr>
              <w:pStyle w:val="TableContents"/>
              <w:rPr>
                <w:sz w:val="4"/>
                <w:szCs w:val="4"/>
              </w:rPr>
            </w:pPr>
          </w:p>
        </w:tc>
      </w:tr>
      <w:tr w:rsidR="002B4E68" w14:paraId="343885E6" w14:textId="77777777">
        <w:tc>
          <w:tcPr>
            <w:tcW w:w="286" w:type="dxa"/>
            <w:vAlign w:val="center"/>
          </w:tcPr>
          <w:p w14:paraId="370A0A23" w14:textId="77777777" w:rsidR="002B4E68" w:rsidRDefault="00000000">
            <w:pPr>
              <w:pStyle w:val="TableContents"/>
            </w:pPr>
            <w:r>
              <w:t>C</w:t>
            </w:r>
          </w:p>
        </w:tc>
        <w:tc>
          <w:tcPr>
            <w:tcW w:w="706" w:type="dxa"/>
            <w:vAlign w:val="center"/>
          </w:tcPr>
          <w:p w14:paraId="1733AB1F" w14:textId="77777777" w:rsidR="002B4E68" w:rsidRDefault="00000000">
            <w:pPr>
              <w:pStyle w:val="TableContents"/>
            </w:pPr>
            <w:bookmarkStart w:id="66" w:name="MathJax-Element-12-Frame"/>
            <w:bookmarkStart w:id="67" w:name="MathJax-Span-56"/>
            <w:bookmarkStart w:id="68" w:name="MathJax-Span-57"/>
            <w:bookmarkStart w:id="69" w:name="MathJax-Span-58"/>
            <w:bookmarkEnd w:id="66"/>
            <w:bookmarkEnd w:id="67"/>
            <w:bookmarkEnd w:id="68"/>
            <w:bookmarkEnd w:id="69"/>
            <w:r>
              <w:t>≥</w:t>
            </w:r>
            <w:bookmarkStart w:id="70" w:name="MathJax-Span-59"/>
            <w:bookmarkEnd w:id="70"/>
            <w:r>
              <w:rPr>
                <w:rFonts w:ascii="STIXGeneral" w:hAnsi="STIXGeneral"/>
              </w:rPr>
              <w:t>60</w:t>
            </w:r>
            <w:bookmarkStart w:id="71" w:name="MathJax-Span-60"/>
            <w:bookmarkEnd w:id="71"/>
            <w:r>
              <w:rPr>
                <w:rFonts w:ascii="STIXGeneral" w:hAnsi="STIXGeneral"/>
              </w:rPr>
              <w:t>%</w:t>
            </w:r>
          </w:p>
        </w:tc>
      </w:tr>
    </w:tbl>
    <w:p w14:paraId="7775A6E3" w14:textId="77777777" w:rsidR="002B4E68" w:rsidRDefault="00000000">
      <w:pPr>
        <w:pStyle w:val="BodyText"/>
        <w:spacing w:after="0"/>
      </w:pPr>
      <w:r>
        <w:t xml:space="preserve">to </w:t>
      </w:r>
      <w:bookmarkStart w:id="72" w:name="MathJax-Element-13-Frame"/>
      <w:bookmarkStart w:id="73" w:name="MathJax-Span-61"/>
      <w:bookmarkStart w:id="74" w:name="MathJax-Span-62"/>
      <w:bookmarkStart w:id="75" w:name="MathJax-Span-63"/>
      <w:bookmarkEnd w:id="72"/>
      <w:bookmarkEnd w:id="73"/>
      <w:bookmarkEnd w:id="74"/>
      <w:bookmarkEnd w:id="75"/>
      <w:r>
        <w:rPr>
          <w:rFonts w:ascii="STIXGeneral" w:hAnsi="STIXGeneral"/>
        </w:rPr>
        <w:t>&lt;</w:t>
      </w:r>
      <w:bookmarkStart w:id="76" w:name="MathJax-Span-64"/>
      <w:bookmarkEnd w:id="76"/>
      <w:r>
        <w:rPr>
          <w:rFonts w:ascii="STIXGeneral" w:hAnsi="STIXGeneral"/>
        </w:rPr>
        <w:t>65</w:t>
      </w:r>
      <w:bookmarkStart w:id="77" w:name="MathJax-Span-65"/>
      <w:bookmarkEnd w:id="77"/>
      <w:r>
        <w:rPr>
          <w:rFonts w:ascii="STIXGeneral" w:hAnsi="STIXGeneral"/>
        </w:rPr>
        <w:t>%</w:t>
      </w:r>
    </w:p>
    <w:tbl>
      <w:tblPr>
        <w:tblW w:w="1067" w:type="dxa"/>
        <w:tblInd w:w="28" w:type="dxa"/>
        <w:tblCellMar>
          <w:top w:w="28" w:type="dxa"/>
          <w:left w:w="28" w:type="dxa"/>
          <w:bottom w:w="28" w:type="dxa"/>
          <w:right w:w="28" w:type="dxa"/>
        </w:tblCellMar>
        <w:tblLook w:val="0000" w:firstRow="0" w:lastRow="0" w:firstColumn="0" w:lastColumn="0" w:noHBand="0" w:noVBand="0"/>
      </w:tblPr>
      <w:tblGrid>
        <w:gridCol w:w="361"/>
        <w:gridCol w:w="706"/>
      </w:tblGrid>
      <w:tr w:rsidR="002B4E68" w14:paraId="6D7FDB8D" w14:textId="77777777">
        <w:tc>
          <w:tcPr>
            <w:tcW w:w="361" w:type="dxa"/>
            <w:vAlign w:val="center"/>
          </w:tcPr>
          <w:p w14:paraId="7790469A" w14:textId="77777777" w:rsidR="002B4E68" w:rsidRDefault="002B4E68">
            <w:pPr>
              <w:pStyle w:val="TableContents"/>
              <w:rPr>
                <w:sz w:val="4"/>
                <w:szCs w:val="4"/>
              </w:rPr>
            </w:pPr>
          </w:p>
        </w:tc>
        <w:tc>
          <w:tcPr>
            <w:tcW w:w="706" w:type="dxa"/>
          </w:tcPr>
          <w:p w14:paraId="74F170C3" w14:textId="77777777" w:rsidR="002B4E68" w:rsidRDefault="002B4E68">
            <w:pPr>
              <w:pStyle w:val="TableContents"/>
              <w:rPr>
                <w:sz w:val="4"/>
                <w:szCs w:val="4"/>
              </w:rPr>
            </w:pPr>
          </w:p>
        </w:tc>
      </w:tr>
      <w:tr w:rsidR="002B4E68" w14:paraId="1C6F4615" w14:textId="77777777">
        <w:tc>
          <w:tcPr>
            <w:tcW w:w="361" w:type="dxa"/>
            <w:vAlign w:val="center"/>
          </w:tcPr>
          <w:p w14:paraId="5D16B405" w14:textId="77777777" w:rsidR="002B4E68" w:rsidRDefault="00000000">
            <w:pPr>
              <w:pStyle w:val="TableContents"/>
            </w:pPr>
            <w:r>
              <w:t>C-</w:t>
            </w:r>
          </w:p>
        </w:tc>
        <w:tc>
          <w:tcPr>
            <w:tcW w:w="706" w:type="dxa"/>
            <w:vAlign w:val="center"/>
          </w:tcPr>
          <w:p w14:paraId="4B051123" w14:textId="77777777" w:rsidR="002B4E68" w:rsidRDefault="00000000">
            <w:pPr>
              <w:pStyle w:val="TableContents"/>
            </w:pPr>
            <w:bookmarkStart w:id="78" w:name="MathJax-Element-14-Frame"/>
            <w:bookmarkStart w:id="79" w:name="MathJax-Span-66"/>
            <w:bookmarkStart w:id="80" w:name="MathJax-Span-67"/>
            <w:bookmarkStart w:id="81" w:name="MathJax-Span-68"/>
            <w:bookmarkEnd w:id="78"/>
            <w:bookmarkEnd w:id="79"/>
            <w:bookmarkEnd w:id="80"/>
            <w:bookmarkEnd w:id="81"/>
            <w:r>
              <w:t>≥</w:t>
            </w:r>
            <w:bookmarkStart w:id="82" w:name="MathJax-Span-69"/>
            <w:bookmarkEnd w:id="82"/>
            <w:r>
              <w:rPr>
                <w:rFonts w:ascii="STIXGeneral" w:hAnsi="STIXGeneral"/>
              </w:rPr>
              <w:t>55</w:t>
            </w:r>
            <w:bookmarkStart w:id="83" w:name="MathJax-Span-70"/>
            <w:bookmarkEnd w:id="83"/>
            <w:r>
              <w:rPr>
                <w:rFonts w:ascii="STIXGeneral" w:hAnsi="STIXGeneral"/>
              </w:rPr>
              <w:t>%</w:t>
            </w:r>
          </w:p>
        </w:tc>
      </w:tr>
    </w:tbl>
    <w:p w14:paraId="73E0495A" w14:textId="77777777" w:rsidR="002B4E68" w:rsidRDefault="00000000">
      <w:pPr>
        <w:pStyle w:val="BodyText"/>
        <w:spacing w:after="0"/>
      </w:pPr>
      <w:r>
        <w:t xml:space="preserve">to </w:t>
      </w:r>
      <w:bookmarkStart w:id="84" w:name="MathJax-Element-15-Frame"/>
      <w:bookmarkStart w:id="85" w:name="MathJax-Span-71"/>
      <w:bookmarkStart w:id="86" w:name="MathJax-Span-72"/>
      <w:bookmarkStart w:id="87" w:name="MathJax-Span-73"/>
      <w:bookmarkEnd w:id="84"/>
      <w:bookmarkEnd w:id="85"/>
      <w:bookmarkEnd w:id="86"/>
      <w:bookmarkEnd w:id="87"/>
      <w:r>
        <w:rPr>
          <w:rFonts w:ascii="STIXGeneral" w:hAnsi="STIXGeneral"/>
        </w:rPr>
        <w:t>&lt;</w:t>
      </w:r>
      <w:bookmarkStart w:id="88" w:name="MathJax-Span-74"/>
      <w:bookmarkEnd w:id="88"/>
      <w:r>
        <w:rPr>
          <w:rFonts w:ascii="STIXGeneral" w:hAnsi="STIXGeneral"/>
        </w:rPr>
        <w:t>60</w:t>
      </w:r>
      <w:bookmarkStart w:id="89" w:name="MathJax-Span-75"/>
      <w:bookmarkEnd w:id="89"/>
      <w:r>
        <w:rPr>
          <w:rFonts w:ascii="STIXGeneral" w:hAnsi="STIXGeneral"/>
        </w:rPr>
        <w:t>%</w:t>
      </w:r>
    </w:p>
    <w:tbl>
      <w:tblPr>
        <w:tblW w:w="1142" w:type="dxa"/>
        <w:tblInd w:w="28" w:type="dxa"/>
        <w:tblCellMar>
          <w:top w:w="28" w:type="dxa"/>
          <w:left w:w="28" w:type="dxa"/>
          <w:bottom w:w="28" w:type="dxa"/>
          <w:right w:w="28" w:type="dxa"/>
        </w:tblCellMar>
        <w:tblLook w:val="0000" w:firstRow="0" w:lastRow="0" w:firstColumn="0" w:lastColumn="0" w:noHBand="0" w:noVBand="0"/>
      </w:tblPr>
      <w:tblGrid>
        <w:gridCol w:w="436"/>
        <w:gridCol w:w="706"/>
      </w:tblGrid>
      <w:tr w:rsidR="002B4E68" w14:paraId="134E1D4A" w14:textId="77777777">
        <w:tc>
          <w:tcPr>
            <w:tcW w:w="436" w:type="dxa"/>
            <w:vAlign w:val="center"/>
          </w:tcPr>
          <w:p w14:paraId="7E6AE499" w14:textId="77777777" w:rsidR="002B4E68" w:rsidRDefault="002B4E68">
            <w:pPr>
              <w:pStyle w:val="TableContents"/>
              <w:rPr>
                <w:sz w:val="4"/>
                <w:szCs w:val="4"/>
              </w:rPr>
            </w:pPr>
          </w:p>
        </w:tc>
        <w:tc>
          <w:tcPr>
            <w:tcW w:w="706" w:type="dxa"/>
          </w:tcPr>
          <w:p w14:paraId="65D0B8CA" w14:textId="77777777" w:rsidR="002B4E68" w:rsidRDefault="002B4E68">
            <w:pPr>
              <w:pStyle w:val="TableContents"/>
              <w:rPr>
                <w:sz w:val="4"/>
                <w:szCs w:val="4"/>
              </w:rPr>
            </w:pPr>
          </w:p>
        </w:tc>
      </w:tr>
      <w:tr w:rsidR="002B4E68" w14:paraId="1B41BEB9" w14:textId="77777777">
        <w:tc>
          <w:tcPr>
            <w:tcW w:w="436" w:type="dxa"/>
            <w:vAlign w:val="center"/>
          </w:tcPr>
          <w:p w14:paraId="36C655AF" w14:textId="77777777" w:rsidR="002B4E68" w:rsidRDefault="00000000">
            <w:pPr>
              <w:pStyle w:val="TableContents"/>
            </w:pPr>
            <w:r>
              <w:t>D+</w:t>
            </w:r>
          </w:p>
        </w:tc>
        <w:tc>
          <w:tcPr>
            <w:tcW w:w="706" w:type="dxa"/>
            <w:vAlign w:val="center"/>
          </w:tcPr>
          <w:p w14:paraId="71D1DE15" w14:textId="77777777" w:rsidR="002B4E68" w:rsidRDefault="00000000">
            <w:pPr>
              <w:pStyle w:val="TableContents"/>
            </w:pPr>
            <w:bookmarkStart w:id="90" w:name="MathJax-Element-16-Frame"/>
            <w:bookmarkStart w:id="91" w:name="MathJax-Span-76"/>
            <w:bookmarkStart w:id="92" w:name="MathJax-Span-77"/>
            <w:bookmarkStart w:id="93" w:name="MathJax-Span-78"/>
            <w:bookmarkEnd w:id="90"/>
            <w:bookmarkEnd w:id="91"/>
            <w:bookmarkEnd w:id="92"/>
            <w:bookmarkEnd w:id="93"/>
            <w:r>
              <w:t>≥</w:t>
            </w:r>
            <w:bookmarkStart w:id="94" w:name="MathJax-Span-79"/>
            <w:bookmarkEnd w:id="94"/>
            <w:r>
              <w:rPr>
                <w:rFonts w:ascii="STIXGeneral" w:hAnsi="STIXGeneral"/>
              </w:rPr>
              <w:t>50</w:t>
            </w:r>
            <w:bookmarkStart w:id="95" w:name="MathJax-Span-80"/>
            <w:bookmarkEnd w:id="95"/>
            <w:r>
              <w:rPr>
                <w:rFonts w:ascii="STIXGeneral" w:hAnsi="STIXGeneral"/>
              </w:rPr>
              <w:t>%</w:t>
            </w:r>
          </w:p>
        </w:tc>
      </w:tr>
    </w:tbl>
    <w:p w14:paraId="443E72AF" w14:textId="77777777" w:rsidR="002B4E68" w:rsidRDefault="00000000">
      <w:pPr>
        <w:pStyle w:val="BodyText"/>
        <w:spacing w:after="0"/>
      </w:pPr>
      <w:r>
        <w:t xml:space="preserve">to </w:t>
      </w:r>
      <w:bookmarkStart w:id="96" w:name="MathJax-Element-17-Frame"/>
      <w:bookmarkStart w:id="97" w:name="MathJax-Span-81"/>
      <w:bookmarkStart w:id="98" w:name="MathJax-Span-82"/>
      <w:bookmarkStart w:id="99" w:name="MathJax-Span-83"/>
      <w:bookmarkEnd w:id="96"/>
      <w:bookmarkEnd w:id="97"/>
      <w:bookmarkEnd w:id="98"/>
      <w:bookmarkEnd w:id="99"/>
      <w:r>
        <w:rPr>
          <w:rFonts w:ascii="STIXGeneral" w:hAnsi="STIXGeneral"/>
        </w:rPr>
        <w:t>&lt;</w:t>
      </w:r>
      <w:bookmarkStart w:id="100" w:name="MathJax-Span-84"/>
      <w:bookmarkEnd w:id="100"/>
      <w:r>
        <w:rPr>
          <w:rFonts w:ascii="STIXGeneral" w:hAnsi="STIXGeneral"/>
        </w:rPr>
        <w:t>55</w:t>
      </w:r>
      <w:bookmarkStart w:id="101" w:name="MathJax-Span-85"/>
      <w:bookmarkEnd w:id="101"/>
      <w:r>
        <w:rPr>
          <w:rFonts w:ascii="STIXGeneral" w:hAnsi="STIXGeneral"/>
        </w:rPr>
        <w:t>%</w:t>
      </w:r>
    </w:p>
    <w:tbl>
      <w:tblPr>
        <w:tblW w:w="1007" w:type="dxa"/>
        <w:tblInd w:w="28" w:type="dxa"/>
        <w:tblCellMar>
          <w:top w:w="28" w:type="dxa"/>
          <w:left w:w="28" w:type="dxa"/>
          <w:bottom w:w="28" w:type="dxa"/>
          <w:right w:w="28" w:type="dxa"/>
        </w:tblCellMar>
        <w:tblLook w:val="0000" w:firstRow="0" w:lastRow="0" w:firstColumn="0" w:lastColumn="0" w:noHBand="0" w:noVBand="0"/>
      </w:tblPr>
      <w:tblGrid>
        <w:gridCol w:w="301"/>
        <w:gridCol w:w="706"/>
      </w:tblGrid>
      <w:tr w:rsidR="002B4E68" w14:paraId="2F3B3105" w14:textId="77777777">
        <w:tc>
          <w:tcPr>
            <w:tcW w:w="301" w:type="dxa"/>
            <w:vAlign w:val="center"/>
          </w:tcPr>
          <w:p w14:paraId="2AC2753F" w14:textId="77777777" w:rsidR="002B4E68" w:rsidRDefault="002B4E68">
            <w:pPr>
              <w:pStyle w:val="TableContents"/>
              <w:rPr>
                <w:sz w:val="4"/>
                <w:szCs w:val="4"/>
              </w:rPr>
            </w:pPr>
          </w:p>
        </w:tc>
        <w:tc>
          <w:tcPr>
            <w:tcW w:w="706" w:type="dxa"/>
          </w:tcPr>
          <w:p w14:paraId="0118CB48" w14:textId="77777777" w:rsidR="002B4E68" w:rsidRDefault="002B4E68">
            <w:pPr>
              <w:pStyle w:val="TableContents"/>
              <w:rPr>
                <w:sz w:val="4"/>
                <w:szCs w:val="4"/>
              </w:rPr>
            </w:pPr>
          </w:p>
        </w:tc>
      </w:tr>
      <w:tr w:rsidR="002B4E68" w14:paraId="1DBEA77C" w14:textId="77777777">
        <w:tc>
          <w:tcPr>
            <w:tcW w:w="301" w:type="dxa"/>
            <w:vAlign w:val="center"/>
          </w:tcPr>
          <w:p w14:paraId="0CD45893" w14:textId="77777777" w:rsidR="002B4E68" w:rsidRDefault="00000000">
            <w:pPr>
              <w:pStyle w:val="TableContents"/>
            </w:pPr>
            <w:r>
              <w:t>D</w:t>
            </w:r>
          </w:p>
        </w:tc>
        <w:tc>
          <w:tcPr>
            <w:tcW w:w="706" w:type="dxa"/>
            <w:vAlign w:val="center"/>
          </w:tcPr>
          <w:p w14:paraId="4956B085" w14:textId="77777777" w:rsidR="002B4E68" w:rsidRDefault="00000000">
            <w:pPr>
              <w:pStyle w:val="TableContents"/>
            </w:pPr>
            <w:bookmarkStart w:id="102" w:name="MathJax-Element-18-Frame"/>
            <w:bookmarkStart w:id="103" w:name="MathJax-Span-86"/>
            <w:bookmarkStart w:id="104" w:name="MathJax-Span-87"/>
            <w:bookmarkStart w:id="105" w:name="MathJax-Span-88"/>
            <w:bookmarkEnd w:id="102"/>
            <w:bookmarkEnd w:id="103"/>
            <w:bookmarkEnd w:id="104"/>
            <w:bookmarkEnd w:id="105"/>
            <w:r>
              <w:t>≥</w:t>
            </w:r>
            <w:bookmarkStart w:id="106" w:name="MathJax-Span-89"/>
            <w:bookmarkEnd w:id="106"/>
            <w:r>
              <w:rPr>
                <w:rFonts w:ascii="STIXGeneral" w:hAnsi="STIXGeneral"/>
              </w:rPr>
              <w:t>45</w:t>
            </w:r>
            <w:bookmarkStart w:id="107" w:name="MathJax-Span-90"/>
            <w:bookmarkEnd w:id="107"/>
            <w:r>
              <w:rPr>
                <w:rFonts w:ascii="STIXGeneral" w:hAnsi="STIXGeneral"/>
              </w:rPr>
              <w:t>%</w:t>
            </w:r>
          </w:p>
        </w:tc>
      </w:tr>
    </w:tbl>
    <w:p w14:paraId="362C1504" w14:textId="77777777" w:rsidR="002B4E68" w:rsidRDefault="00000000">
      <w:pPr>
        <w:pStyle w:val="BodyText"/>
        <w:spacing w:after="0"/>
      </w:pPr>
      <w:r>
        <w:t xml:space="preserve">to </w:t>
      </w:r>
      <w:bookmarkStart w:id="108" w:name="MathJax-Element-19-Frame"/>
      <w:bookmarkStart w:id="109" w:name="MathJax-Span-91"/>
      <w:bookmarkStart w:id="110" w:name="MathJax-Span-92"/>
      <w:bookmarkStart w:id="111" w:name="MathJax-Span-93"/>
      <w:bookmarkEnd w:id="108"/>
      <w:bookmarkEnd w:id="109"/>
      <w:bookmarkEnd w:id="110"/>
      <w:bookmarkEnd w:id="111"/>
      <w:r>
        <w:rPr>
          <w:rFonts w:ascii="STIXGeneral" w:hAnsi="STIXGeneral"/>
        </w:rPr>
        <w:t>&lt;</w:t>
      </w:r>
      <w:bookmarkStart w:id="112" w:name="MathJax-Span-94"/>
      <w:bookmarkEnd w:id="112"/>
      <w:r>
        <w:rPr>
          <w:rFonts w:ascii="STIXGeneral" w:hAnsi="STIXGeneral"/>
        </w:rPr>
        <w:t>50</w:t>
      </w:r>
      <w:bookmarkStart w:id="113" w:name="MathJax-Span-95"/>
      <w:bookmarkEnd w:id="113"/>
      <w:r>
        <w:rPr>
          <w:rFonts w:ascii="STIXGeneral" w:hAnsi="STIXGeneral"/>
        </w:rPr>
        <w:t>%</w:t>
      </w:r>
    </w:p>
    <w:tbl>
      <w:tblPr>
        <w:tblW w:w="991" w:type="dxa"/>
        <w:tblInd w:w="28" w:type="dxa"/>
        <w:tblCellMar>
          <w:top w:w="28" w:type="dxa"/>
          <w:left w:w="28" w:type="dxa"/>
          <w:bottom w:w="28" w:type="dxa"/>
          <w:right w:w="28" w:type="dxa"/>
        </w:tblCellMar>
        <w:tblLook w:val="0000" w:firstRow="0" w:lastRow="0" w:firstColumn="0" w:lastColumn="0" w:noHBand="0" w:noVBand="0"/>
      </w:tblPr>
      <w:tblGrid>
        <w:gridCol w:w="169"/>
        <w:gridCol w:w="87"/>
        <w:gridCol w:w="735"/>
      </w:tblGrid>
      <w:tr w:rsidR="002B4E68" w14:paraId="7CFBB7DA" w14:textId="77777777">
        <w:tc>
          <w:tcPr>
            <w:tcW w:w="256" w:type="dxa"/>
            <w:gridSpan w:val="2"/>
            <w:vAlign w:val="center"/>
          </w:tcPr>
          <w:p w14:paraId="542F138B" w14:textId="77777777" w:rsidR="002B4E68" w:rsidRDefault="002B4E68">
            <w:pPr>
              <w:pStyle w:val="TableContents"/>
              <w:rPr>
                <w:sz w:val="4"/>
                <w:szCs w:val="4"/>
              </w:rPr>
            </w:pPr>
          </w:p>
        </w:tc>
        <w:tc>
          <w:tcPr>
            <w:tcW w:w="735" w:type="dxa"/>
          </w:tcPr>
          <w:p w14:paraId="2D0D9436" w14:textId="77777777" w:rsidR="002B4E68" w:rsidRDefault="002B4E68">
            <w:pPr>
              <w:pStyle w:val="TableContents"/>
              <w:rPr>
                <w:sz w:val="4"/>
                <w:szCs w:val="4"/>
              </w:rPr>
            </w:pPr>
          </w:p>
        </w:tc>
      </w:tr>
      <w:tr w:rsidR="002B4E68" w14:paraId="61D9F51D" w14:textId="77777777">
        <w:tc>
          <w:tcPr>
            <w:tcW w:w="256" w:type="dxa"/>
            <w:gridSpan w:val="2"/>
            <w:vAlign w:val="center"/>
          </w:tcPr>
          <w:p w14:paraId="5FC91709" w14:textId="77777777" w:rsidR="002B4E68" w:rsidRDefault="00000000">
            <w:pPr>
              <w:pStyle w:val="TableContents"/>
            </w:pPr>
            <w:r>
              <w:t>F</w:t>
            </w:r>
          </w:p>
        </w:tc>
        <w:tc>
          <w:tcPr>
            <w:tcW w:w="735" w:type="dxa"/>
            <w:vAlign w:val="center"/>
          </w:tcPr>
          <w:p w14:paraId="4085A363" w14:textId="77777777" w:rsidR="002B4E68" w:rsidRDefault="00000000">
            <w:pPr>
              <w:pStyle w:val="TableContents"/>
            </w:pPr>
            <w:bookmarkStart w:id="114" w:name="MathJax-Element-20-Frame"/>
            <w:bookmarkStart w:id="115" w:name="MathJax-Span-96"/>
            <w:bookmarkStart w:id="116" w:name="MathJax-Span-97"/>
            <w:bookmarkStart w:id="117" w:name="MathJax-Span-98"/>
            <w:bookmarkEnd w:id="114"/>
            <w:bookmarkEnd w:id="115"/>
            <w:bookmarkEnd w:id="116"/>
            <w:bookmarkEnd w:id="117"/>
            <w:r>
              <w:rPr>
                <w:rFonts w:ascii="STIXGeneral" w:hAnsi="STIXGeneral"/>
              </w:rPr>
              <w:t>&lt;</w:t>
            </w:r>
            <w:bookmarkStart w:id="118" w:name="MathJax-Span-99"/>
            <w:bookmarkEnd w:id="118"/>
            <w:r>
              <w:rPr>
                <w:rFonts w:ascii="STIXGeneral" w:hAnsi="STIXGeneral"/>
              </w:rPr>
              <w:t>45</w:t>
            </w:r>
            <w:bookmarkStart w:id="119" w:name="MathJax-Span-100"/>
            <w:bookmarkEnd w:id="119"/>
            <w:r>
              <w:rPr>
                <w:rFonts w:ascii="STIXGeneral" w:hAnsi="STIXGeneral"/>
              </w:rPr>
              <w:t>%</w:t>
            </w:r>
          </w:p>
        </w:tc>
      </w:tr>
      <w:tr w:rsidR="002B4E68" w14:paraId="098BDBBC" w14:textId="77777777">
        <w:trPr>
          <w:gridAfter w:val="2"/>
          <w:wAfter w:w="822" w:type="dxa"/>
        </w:trPr>
        <w:tc>
          <w:tcPr>
            <w:tcW w:w="169" w:type="dxa"/>
            <w:vAlign w:val="center"/>
          </w:tcPr>
          <w:p w14:paraId="019D45D0" w14:textId="77777777" w:rsidR="002B4E68" w:rsidRDefault="002B4E68">
            <w:pPr>
              <w:pStyle w:val="TableContents"/>
            </w:pPr>
          </w:p>
        </w:tc>
      </w:tr>
    </w:tbl>
    <w:p w14:paraId="5579845A" w14:textId="77777777" w:rsidR="002B4E68" w:rsidRDefault="002B4E68">
      <w:pPr>
        <w:pStyle w:val="BodyText"/>
      </w:pPr>
    </w:p>
    <w:p w14:paraId="31D759DC" w14:textId="77777777" w:rsidR="002B4E68" w:rsidRDefault="00000000">
      <w:pPr>
        <w:pStyle w:val="Heading4"/>
      </w:pPr>
      <w:r>
        <w:t>Tentative weekly schedule</w:t>
      </w:r>
    </w:p>
    <w:p w14:paraId="2D9F10F5" w14:textId="77777777" w:rsidR="002B4E68" w:rsidRDefault="00000000">
      <w:pPr>
        <w:pStyle w:val="BodyText"/>
      </w:pPr>
      <w:r>
        <w:t>This will be subject to change depending on the pace of the lectures.</w:t>
      </w:r>
    </w:p>
    <w:p w14:paraId="4A5A5E25" w14:textId="77777777" w:rsidR="002B4E68" w:rsidRDefault="00000000">
      <w:pPr>
        <w:pStyle w:val="BodyText"/>
        <w:spacing w:after="0"/>
        <w:jc w:val="center"/>
      </w:pPr>
      <w:r>
        <w:t>Schedule</w:t>
      </w:r>
    </w:p>
    <w:tbl>
      <w:tblPr>
        <w:tblW w:w="6228" w:type="dxa"/>
        <w:tblInd w:w="28" w:type="dxa"/>
        <w:tblCellMar>
          <w:top w:w="28" w:type="dxa"/>
          <w:left w:w="28" w:type="dxa"/>
          <w:bottom w:w="28" w:type="dxa"/>
          <w:right w:w="28" w:type="dxa"/>
        </w:tblCellMar>
        <w:tblLook w:val="0000" w:firstRow="0" w:lastRow="0" w:firstColumn="0" w:lastColumn="0" w:noHBand="0" w:noVBand="0"/>
      </w:tblPr>
      <w:tblGrid>
        <w:gridCol w:w="1401"/>
        <w:gridCol w:w="4827"/>
      </w:tblGrid>
      <w:tr w:rsidR="002B4E68" w14:paraId="60E69885" w14:textId="77777777">
        <w:trPr>
          <w:tblHeader/>
        </w:trPr>
        <w:tc>
          <w:tcPr>
            <w:tcW w:w="1401" w:type="dxa"/>
            <w:vAlign w:val="center"/>
          </w:tcPr>
          <w:p w14:paraId="07DA94CD" w14:textId="77777777" w:rsidR="002B4E68" w:rsidRDefault="00000000">
            <w:pPr>
              <w:pStyle w:val="TableHeading"/>
            </w:pPr>
            <w:r>
              <w:t>Week</w:t>
            </w:r>
          </w:p>
        </w:tc>
        <w:tc>
          <w:tcPr>
            <w:tcW w:w="4827" w:type="dxa"/>
            <w:vAlign w:val="center"/>
          </w:tcPr>
          <w:p w14:paraId="678B2A67" w14:textId="77777777" w:rsidR="002B4E68" w:rsidRDefault="00000000">
            <w:pPr>
              <w:pStyle w:val="TableHeading"/>
            </w:pPr>
            <w:r>
              <w:t>Topics covered</w:t>
            </w:r>
          </w:p>
        </w:tc>
      </w:tr>
      <w:tr w:rsidR="002B4E68" w14:paraId="7EA2F7C6" w14:textId="77777777">
        <w:tc>
          <w:tcPr>
            <w:tcW w:w="1401" w:type="dxa"/>
            <w:vAlign w:val="center"/>
          </w:tcPr>
          <w:p w14:paraId="0975FDC3" w14:textId="77777777" w:rsidR="002B4E68" w:rsidRDefault="00000000">
            <w:pPr>
              <w:pStyle w:val="TableContents"/>
            </w:pPr>
            <w:r>
              <w:t>09/04 - 09/10</w:t>
            </w:r>
          </w:p>
        </w:tc>
        <w:tc>
          <w:tcPr>
            <w:tcW w:w="4827" w:type="dxa"/>
            <w:vAlign w:val="center"/>
          </w:tcPr>
          <w:p w14:paraId="0E94D458" w14:textId="77777777" w:rsidR="002B4E68" w:rsidRDefault="00000000">
            <w:pPr>
              <w:pStyle w:val="TableContents"/>
            </w:pPr>
            <w:r>
              <w:t>Units and measurements</w:t>
            </w:r>
            <w:r>
              <w:br/>
              <w:t>Maths review</w:t>
            </w:r>
            <w:r>
              <w:br/>
              <w:t>Introductory kinematics</w:t>
            </w:r>
          </w:p>
        </w:tc>
      </w:tr>
      <w:tr w:rsidR="002B4E68" w14:paraId="575902E2" w14:textId="77777777">
        <w:tc>
          <w:tcPr>
            <w:tcW w:w="1401" w:type="dxa"/>
            <w:vAlign w:val="center"/>
          </w:tcPr>
          <w:p w14:paraId="4D0875E4" w14:textId="77777777" w:rsidR="002B4E68" w:rsidRDefault="00000000">
            <w:pPr>
              <w:pStyle w:val="TableContents"/>
            </w:pPr>
            <w:r>
              <w:t>09/11 - 09/17</w:t>
            </w:r>
          </w:p>
        </w:tc>
        <w:tc>
          <w:tcPr>
            <w:tcW w:w="4827" w:type="dxa"/>
            <w:vAlign w:val="center"/>
          </w:tcPr>
          <w:p w14:paraId="589F9B8C" w14:textId="77777777" w:rsidR="002B4E68" w:rsidRDefault="00000000">
            <w:pPr>
              <w:pStyle w:val="TableContents"/>
              <w:spacing w:after="283"/>
            </w:pPr>
            <w:r>
              <w:t>1-D kinematics</w:t>
            </w:r>
          </w:p>
          <w:p w14:paraId="7E1F1D07" w14:textId="77777777" w:rsidR="002B4E68" w:rsidRDefault="00000000">
            <w:pPr>
              <w:pStyle w:val="TableContents"/>
              <w:numPr>
                <w:ilvl w:val="0"/>
                <w:numId w:val="2"/>
              </w:numPr>
              <w:tabs>
                <w:tab w:val="left" w:pos="707"/>
              </w:tabs>
            </w:pPr>
            <w:r>
              <w:t>equations of motion</w:t>
            </w:r>
          </w:p>
          <w:p w14:paraId="0AA98736" w14:textId="77777777" w:rsidR="002B4E68" w:rsidRDefault="00000000">
            <w:pPr>
              <w:pStyle w:val="TableContents"/>
              <w:numPr>
                <w:ilvl w:val="0"/>
                <w:numId w:val="2"/>
              </w:numPr>
              <w:tabs>
                <w:tab w:val="left" w:pos="707"/>
              </w:tabs>
            </w:pPr>
            <w:r>
              <w:t>average vs. instantaneous measures</w:t>
            </w:r>
          </w:p>
          <w:p w14:paraId="24B4EB3A" w14:textId="77777777" w:rsidR="002B4E68" w:rsidRDefault="00000000">
            <w:pPr>
              <w:pStyle w:val="TableContents"/>
              <w:numPr>
                <w:ilvl w:val="0"/>
                <w:numId w:val="2"/>
              </w:numPr>
              <w:tabs>
                <w:tab w:val="left" w:pos="707"/>
              </w:tabs>
            </w:pPr>
            <w:r>
              <w:t>uniform acceleration</w:t>
            </w:r>
          </w:p>
          <w:p w14:paraId="4BB0C3EC" w14:textId="77777777" w:rsidR="002B4E68" w:rsidRDefault="00000000">
            <w:pPr>
              <w:pStyle w:val="TableContents"/>
              <w:numPr>
                <w:ilvl w:val="0"/>
                <w:numId w:val="2"/>
              </w:numPr>
              <w:tabs>
                <w:tab w:val="left" w:pos="707"/>
              </w:tabs>
              <w:spacing w:after="283"/>
            </w:pPr>
            <w:r>
              <w:t>free fall</w:t>
            </w:r>
          </w:p>
        </w:tc>
      </w:tr>
      <w:tr w:rsidR="002B4E68" w14:paraId="1A22D4C3" w14:textId="77777777">
        <w:tc>
          <w:tcPr>
            <w:tcW w:w="1401" w:type="dxa"/>
            <w:vAlign w:val="center"/>
          </w:tcPr>
          <w:p w14:paraId="0CD08341" w14:textId="77777777" w:rsidR="002B4E68" w:rsidRDefault="00000000">
            <w:pPr>
              <w:pStyle w:val="TableContents"/>
            </w:pPr>
            <w:r>
              <w:t>09/18 - 09/24</w:t>
            </w:r>
          </w:p>
        </w:tc>
        <w:tc>
          <w:tcPr>
            <w:tcW w:w="4827" w:type="dxa"/>
            <w:vAlign w:val="center"/>
          </w:tcPr>
          <w:p w14:paraId="3647FE59" w14:textId="77777777" w:rsidR="002B4E68" w:rsidRDefault="00000000">
            <w:pPr>
              <w:pStyle w:val="TableContents"/>
              <w:spacing w:after="283"/>
            </w:pPr>
            <w:r>
              <w:t>2-D kinematics</w:t>
            </w:r>
          </w:p>
          <w:p w14:paraId="02F57CD8" w14:textId="77777777" w:rsidR="002B4E68" w:rsidRDefault="00000000">
            <w:pPr>
              <w:pStyle w:val="TableContents"/>
              <w:numPr>
                <w:ilvl w:val="0"/>
                <w:numId w:val="3"/>
              </w:numPr>
              <w:tabs>
                <w:tab w:val="left" w:pos="707"/>
              </w:tabs>
            </w:pPr>
            <w:r>
              <w:t>projectile motion</w:t>
            </w:r>
          </w:p>
          <w:p w14:paraId="1EC31C26" w14:textId="77777777" w:rsidR="002B4E68" w:rsidRDefault="00000000">
            <w:pPr>
              <w:pStyle w:val="TableContents"/>
              <w:numPr>
                <w:ilvl w:val="0"/>
                <w:numId w:val="3"/>
              </w:numPr>
              <w:tabs>
                <w:tab w:val="left" w:pos="707"/>
              </w:tabs>
            </w:pPr>
            <w:r>
              <w:t>circular motion</w:t>
            </w:r>
          </w:p>
          <w:p w14:paraId="3E1BA1B1" w14:textId="77777777" w:rsidR="002B4E68" w:rsidRDefault="00000000">
            <w:pPr>
              <w:pStyle w:val="TableContents"/>
              <w:numPr>
                <w:ilvl w:val="0"/>
                <w:numId w:val="3"/>
              </w:numPr>
              <w:tabs>
                <w:tab w:val="left" w:pos="707"/>
              </w:tabs>
              <w:spacing w:after="283"/>
            </w:pPr>
            <w:r>
              <w:t>relative motion (important!)</w:t>
            </w:r>
          </w:p>
          <w:p w14:paraId="4516E382" w14:textId="77777777" w:rsidR="002B4E68" w:rsidRDefault="00000000">
            <w:pPr>
              <w:pStyle w:val="TableContents"/>
              <w:spacing w:after="283"/>
            </w:pPr>
            <w:r>
              <w:rPr>
                <w:rStyle w:val="StrongEmphasis"/>
              </w:rPr>
              <w:t>Quiz 1 on 09/23/2022</w:t>
            </w:r>
          </w:p>
        </w:tc>
      </w:tr>
      <w:tr w:rsidR="002B4E68" w14:paraId="005E84F6" w14:textId="77777777">
        <w:tc>
          <w:tcPr>
            <w:tcW w:w="1401" w:type="dxa"/>
            <w:vAlign w:val="center"/>
          </w:tcPr>
          <w:p w14:paraId="4548EAD9" w14:textId="77777777" w:rsidR="002B4E68" w:rsidRDefault="00000000">
            <w:pPr>
              <w:pStyle w:val="TableContents"/>
            </w:pPr>
            <w:r>
              <w:t>09/25 - 10/01</w:t>
            </w:r>
          </w:p>
        </w:tc>
        <w:tc>
          <w:tcPr>
            <w:tcW w:w="4827" w:type="dxa"/>
            <w:vAlign w:val="center"/>
          </w:tcPr>
          <w:p w14:paraId="19664E8B" w14:textId="77777777" w:rsidR="002B4E68" w:rsidRDefault="00000000">
            <w:pPr>
              <w:pStyle w:val="TableContents"/>
              <w:spacing w:after="283"/>
            </w:pPr>
            <w:r>
              <w:t>Newton's laws of motion</w:t>
            </w:r>
          </w:p>
          <w:p w14:paraId="04DFD775" w14:textId="77777777" w:rsidR="002B4E68" w:rsidRDefault="00000000">
            <w:pPr>
              <w:pStyle w:val="TableContents"/>
              <w:numPr>
                <w:ilvl w:val="0"/>
                <w:numId w:val="4"/>
              </w:numPr>
              <w:tabs>
                <w:tab w:val="left" w:pos="707"/>
              </w:tabs>
            </w:pPr>
            <w:r>
              <w:t>forces and inertia</w:t>
            </w:r>
          </w:p>
          <w:p w14:paraId="1A595662" w14:textId="77777777" w:rsidR="002B4E68" w:rsidRDefault="00000000">
            <w:pPr>
              <w:pStyle w:val="TableContents"/>
              <w:numPr>
                <w:ilvl w:val="0"/>
                <w:numId w:val="4"/>
              </w:numPr>
              <w:tabs>
                <w:tab w:val="left" w:pos="707"/>
              </w:tabs>
            </w:pPr>
            <w:r>
              <w:t>the three laws</w:t>
            </w:r>
          </w:p>
          <w:p w14:paraId="7053ADE3" w14:textId="77777777" w:rsidR="002B4E68" w:rsidRDefault="00000000">
            <w:pPr>
              <w:pStyle w:val="TableContents"/>
              <w:numPr>
                <w:ilvl w:val="0"/>
                <w:numId w:val="4"/>
              </w:numPr>
              <w:tabs>
                <w:tab w:val="left" w:pos="707"/>
              </w:tabs>
              <w:spacing w:after="283"/>
            </w:pPr>
            <w:r>
              <w:lastRenderedPageBreak/>
              <w:t>free-body diagrams</w:t>
            </w:r>
          </w:p>
          <w:p w14:paraId="5542D7D2" w14:textId="77777777" w:rsidR="002B4E68" w:rsidRDefault="00000000">
            <w:pPr>
              <w:pStyle w:val="TableContents"/>
              <w:spacing w:after="283"/>
            </w:pPr>
            <w:r>
              <w:rPr>
                <w:rStyle w:val="StrongEmphasis"/>
              </w:rPr>
              <w:t>Nobel Conference (28</w:t>
            </w:r>
            <w:r>
              <w:rPr>
                <w:rStyle w:val="StrongEmphasis"/>
                <w:position w:val="8"/>
                <w:sz w:val="19"/>
              </w:rPr>
              <w:t>th</w:t>
            </w:r>
            <w:r>
              <w:rPr>
                <w:rStyle w:val="StrongEmphasis"/>
              </w:rPr>
              <w:t xml:space="preserve"> and 29</w:t>
            </w:r>
            <w:r>
              <w:rPr>
                <w:rStyle w:val="StrongEmphasis"/>
                <w:position w:val="8"/>
                <w:sz w:val="19"/>
              </w:rPr>
              <w:t>th</w:t>
            </w:r>
            <w:r>
              <w:rPr>
                <w:rStyle w:val="StrongEmphasis"/>
              </w:rPr>
              <w:t>): no classes</w:t>
            </w:r>
          </w:p>
        </w:tc>
      </w:tr>
      <w:tr w:rsidR="002B4E68" w14:paraId="48DE5884" w14:textId="77777777">
        <w:tc>
          <w:tcPr>
            <w:tcW w:w="1401" w:type="dxa"/>
            <w:vAlign w:val="center"/>
          </w:tcPr>
          <w:p w14:paraId="451F7389" w14:textId="77777777" w:rsidR="002B4E68" w:rsidRDefault="00000000">
            <w:pPr>
              <w:pStyle w:val="TableContents"/>
            </w:pPr>
            <w:r>
              <w:lastRenderedPageBreak/>
              <w:t>10/02 - 10/08</w:t>
            </w:r>
          </w:p>
        </w:tc>
        <w:tc>
          <w:tcPr>
            <w:tcW w:w="4827" w:type="dxa"/>
            <w:vAlign w:val="center"/>
          </w:tcPr>
          <w:p w14:paraId="62A02204" w14:textId="77777777" w:rsidR="002B4E68" w:rsidRDefault="00000000">
            <w:pPr>
              <w:pStyle w:val="TableContents"/>
              <w:spacing w:after="283"/>
            </w:pPr>
            <w:r>
              <w:t>Applications of Newton's laws</w:t>
            </w:r>
          </w:p>
          <w:p w14:paraId="3445D41D" w14:textId="77777777" w:rsidR="002B4E68" w:rsidRDefault="00000000">
            <w:pPr>
              <w:pStyle w:val="TableContents"/>
              <w:numPr>
                <w:ilvl w:val="0"/>
                <w:numId w:val="5"/>
              </w:numPr>
              <w:tabs>
                <w:tab w:val="left" w:pos="707"/>
              </w:tabs>
            </w:pPr>
            <w:r>
              <w:t>solving problems involving forces</w:t>
            </w:r>
          </w:p>
          <w:p w14:paraId="75E71C25" w14:textId="77777777" w:rsidR="002B4E68" w:rsidRDefault="00000000">
            <w:pPr>
              <w:pStyle w:val="TableContents"/>
              <w:numPr>
                <w:ilvl w:val="0"/>
                <w:numId w:val="5"/>
              </w:numPr>
              <w:tabs>
                <w:tab w:val="left" w:pos="707"/>
              </w:tabs>
            </w:pPr>
            <w:r>
              <w:t>friction</w:t>
            </w:r>
          </w:p>
          <w:p w14:paraId="3E2FBFD0" w14:textId="77777777" w:rsidR="002B4E68" w:rsidRDefault="00000000">
            <w:pPr>
              <w:pStyle w:val="TableContents"/>
              <w:numPr>
                <w:ilvl w:val="0"/>
                <w:numId w:val="5"/>
              </w:numPr>
              <w:tabs>
                <w:tab w:val="left" w:pos="707"/>
              </w:tabs>
              <w:spacing w:after="283"/>
            </w:pPr>
            <w:r>
              <w:t>central forces</w:t>
            </w:r>
          </w:p>
        </w:tc>
      </w:tr>
      <w:tr w:rsidR="002B4E68" w14:paraId="7FEB5327" w14:textId="77777777">
        <w:tc>
          <w:tcPr>
            <w:tcW w:w="1401" w:type="dxa"/>
            <w:vAlign w:val="center"/>
          </w:tcPr>
          <w:p w14:paraId="14F6A483" w14:textId="77777777" w:rsidR="002B4E68" w:rsidRDefault="00000000">
            <w:pPr>
              <w:pStyle w:val="TableContents"/>
            </w:pPr>
            <w:r>
              <w:t>10/09 - 10/15</w:t>
            </w:r>
          </w:p>
        </w:tc>
        <w:tc>
          <w:tcPr>
            <w:tcW w:w="4827" w:type="dxa"/>
            <w:vAlign w:val="center"/>
          </w:tcPr>
          <w:p w14:paraId="5511DFEC" w14:textId="77777777" w:rsidR="002B4E68" w:rsidRDefault="00000000">
            <w:pPr>
              <w:pStyle w:val="TableContents"/>
              <w:spacing w:after="283"/>
            </w:pPr>
            <w:r>
              <w:t>Work and Energy</w:t>
            </w:r>
          </w:p>
          <w:p w14:paraId="29C852A1" w14:textId="77777777" w:rsidR="002B4E68" w:rsidRDefault="00000000">
            <w:pPr>
              <w:pStyle w:val="TableContents"/>
              <w:numPr>
                <w:ilvl w:val="0"/>
                <w:numId w:val="6"/>
              </w:numPr>
              <w:tabs>
                <w:tab w:val="left" w:pos="707"/>
              </w:tabs>
            </w:pPr>
            <w:r>
              <w:t>work done by forces</w:t>
            </w:r>
          </w:p>
          <w:p w14:paraId="0516A191" w14:textId="77777777" w:rsidR="002B4E68" w:rsidRDefault="00000000">
            <w:pPr>
              <w:pStyle w:val="TableContents"/>
              <w:numPr>
                <w:ilvl w:val="0"/>
                <w:numId w:val="6"/>
              </w:numPr>
              <w:tabs>
                <w:tab w:val="left" w:pos="707"/>
              </w:tabs>
            </w:pPr>
            <w:r>
              <w:t>kinetic energy</w:t>
            </w:r>
          </w:p>
          <w:p w14:paraId="5040D832" w14:textId="77777777" w:rsidR="002B4E68" w:rsidRDefault="00000000">
            <w:pPr>
              <w:pStyle w:val="TableContents"/>
              <w:numPr>
                <w:ilvl w:val="0"/>
                <w:numId w:val="6"/>
              </w:numPr>
              <w:tabs>
                <w:tab w:val="left" w:pos="707"/>
              </w:tabs>
              <w:spacing w:after="283"/>
            </w:pPr>
            <w:r>
              <w:t>work-energy theorem</w:t>
            </w:r>
          </w:p>
          <w:p w14:paraId="62B2C98F" w14:textId="77777777" w:rsidR="002B4E68" w:rsidRDefault="00000000">
            <w:pPr>
              <w:pStyle w:val="TableContents"/>
              <w:spacing w:after="283"/>
            </w:pPr>
            <w:r>
              <w:rPr>
                <w:rStyle w:val="StrongEmphasis"/>
              </w:rPr>
              <w:t>Quiz 2 on 10/14/2022</w:t>
            </w:r>
          </w:p>
        </w:tc>
      </w:tr>
      <w:tr w:rsidR="002B4E68" w14:paraId="581948E7" w14:textId="77777777">
        <w:tc>
          <w:tcPr>
            <w:tcW w:w="1401" w:type="dxa"/>
            <w:vAlign w:val="center"/>
          </w:tcPr>
          <w:p w14:paraId="01E20811" w14:textId="77777777" w:rsidR="002B4E68" w:rsidRDefault="00000000">
            <w:pPr>
              <w:pStyle w:val="TableContents"/>
            </w:pPr>
            <w:r>
              <w:t>10/16 - 10/22</w:t>
            </w:r>
          </w:p>
        </w:tc>
        <w:tc>
          <w:tcPr>
            <w:tcW w:w="4827" w:type="dxa"/>
            <w:vAlign w:val="center"/>
          </w:tcPr>
          <w:p w14:paraId="575C2241" w14:textId="77777777" w:rsidR="002B4E68" w:rsidRDefault="00000000">
            <w:pPr>
              <w:pStyle w:val="TableContents"/>
              <w:spacing w:after="283"/>
            </w:pPr>
            <w:r>
              <w:t>Conservation of energy</w:t>
            </w:r>
          </w:p>
          <w:p w14:paraId="049B0CA8" w14:textId="77777777" w:rsidR="002B4E68" w:rsidRDefault="00000000">
            <w:pPr>
              <w:pStyle w:val="TableContents"/>
              <w:numPr>
                <w:ilvl w:val="0"/>
                <w:numId w:val="7"/>
              </w:numPr>
              <w:tabs>
                <w:tab w:val="left" w:pos="707"/>
              </w:tabs>
            </w:pPr>
            <w:r>
              <w:t>potential energy</w:t>
            </w:r>
          </w:p>
          <w:p w14:paraId="4B4148DF" w14:textId="77777777" w:rsidR="002B4E68" w:rsidRDefault="00000000">
            <w:pPr>
              <w:pStyle w:val="TableContents"/>
              <w:numPr>
                <w:ilvl w:val="0"/>
                <w:numId w:val="7"/>
              </w:numPr>
              <w:tabs>
                <w:tab w:val="left" w:pos="707"/>
              </w:tabs>
            </w:pPr>
            <w:r>
              <w:t>conservative and non-conservative forces</w:t>
            </w:r>
          </w:p>
          <w:p w14:paraId="22956390" w14:textId="77777777" w:rsidR="002B4E68" w:rsidRDefault="00000000">
            <w:pPr>
              <w:pStyle w:val="TableContents"/>
              <w:numPr>
                <w:ilvl w:val="0"/>
                <w:numId w:val="7"/>
              </w:numPr>
              <w:tabs>
                <w:tab w:val="left" w:pos="707"/>
              </w:tabs>
              <w:spacing w:after="283"/>
            </w:pPr>
            <w:r>
              <w:t>potential energy and stability of systems</w:t>
            </w:r>
          </w:p>
        </w:tc>
      </w:tr>
      <w:tr w:rsidR="002B4E68" w14:paraId="461CE02C" w14:textId="77777777">
        <w:tc>
          <w:tcPr>
            <w:tcW w:w="1401" w:type="dxa"/>
            <w:vAlign w:val="center"/>
          </w:tcPr>
          <w:p w14:paraId="5D0EAB98" w14:textId="77777777" w:rsidR="002B4E68" w:rsidRDefault="00000000">
            <w:pPr>
              <w:pStyle w:val="TableContents"/>
            </w:pPr>
            <w:r>
              <w:t>10/23 - 10/29</w:t>
            </w:r>
          </w:p>
        </w:tc>
        <w:tc>
          <w:tcPr>
            <w:tcW w:w="4827" w:type="dxa"/>
            <w:vAlign w:val="center"/>
          </w:tcPr>
          <w:p w14:paraId="16D9D2B8" w14:textId="77777777" w:rsidR="002B4E68" w:rsidRDefault="00000000">
            <w:pPr>
              <w:pStyle w:val="TableContents"/>
              <w:spacing w:after="283"/>
            </w:pPr>
            <w:r>
              <w:t>Linear momentum and collisions</w:t>
            </w:r>
          </w:p>
          <w:p w14:paraId="3D7590EB" w14:textId="77777777" w:rsidR="002B4E68" w:rsidRDefault="00000000">
            <w:pPr>
              <w:pStyle w:val="TableContents"/>
              <w:numPr>
                <w:ilvl w:val="0"/>
                <w:numId w:val="8"/>
              </w:numPr>
              <w:tabs>
                <w:tab w:val="left" w:pos="707"/>
              </w:tabs>
            </w:pPr>
            <w:r>
              <w:t>linear momentum and its conservation</w:t>
            </w:r>
          </w:p>
          <w:p w14:paraId="62456A6D" w14:textId="77777777" w:rsidR="002B4E68" w:rsidRDefault="00000000">
            <w:pPr>
              <w:pStyle w:val="TableContents"/>
              <w:numPr>
                <w:ilvl w:val="0"/>
                <w:numId w:val="8"/>
              </w:numPr>
              <w:tabs>
                <w:tab w:val="left" w:pos="707"/>
              </w:tabs>
            </w:pPr>
            <w:r>
              <w:t>impulse and collision</w:t>
            </w:r>
          </w:p>
          <w:p w14:paraId="1C10B662" w14:textId="77777777" w:rsidR="002B4E68" w:rsidRDefault="00000000">
            <w:pPr>
              <w:pStyle w:val="TableContents"/>
              <w:numPr>
                <w:ilvl w:val="0"/>
                <w:numId w:val="8"/>
              </w:numPr>
              <w:tabs>
                <w:tab w:val="left" w:pos="707"/>
              </w:tabs>
            </w:pPr>
            <w:r>
              <w:t>relation to Newton's laws</w:t>
            </w:r>
          </w:p>
          <w:p w14:paraId="48319ED3" w14:textId="77777777" w:rsidR="002B4E68" w:rsidRDefault="00000000">
            <w:pPr>
              <w:pStyle w:val="TableContents"/>
              <w:numPr>
                <w:ilvl w:val="0"/>
                <w:numId w:val="8"/>
              </w:numPr>
              <w:tabs>
                <w:tab w:val="left" w:pos="707"/>
              </w:tabs>
              <w:spacing w:after="283"/>
            </w:pPr>
            <w:r>
              <w:t>center of mass motion</w:t>
            </w:r>
          </w:p>
          <w:p w14:paraId="32A6DA99" w14:textId="77777777" w:rsidR="002B4E68" w:rsidRDefault="00000000">
            <w:pPr>
              <w:pStyle w:val="TableContents"/>
              <w:spacing w:after="283"/>
            </w:pPr>
            <w:r>
              <w:rPr>
                <w:rStyle w:val="StrongEmphasis"/>
              </w:rPr>
              <w:t>Fall break (24</w:t>
            </w:r>
            <w:r>
              <w:rPr>
                <w:rStyle w:val="StrongEmphasis"/>
                <w:position w:val="8"/>
                <w:sz w:val="19"/>
              </w:rPr>
              <w:t>th</w:t>
            </w:r>
            <w:r>
              <w:rPr>
                <w:rStyle w:val="StrongEmphasis"/>
              </w:rPr>
              <w:t xml:space="preserve"> and 25</w:t>
            </w:r>
            <w:r>
              <w:rPr>
                <w:rStyle w:val="StrongEmphasis"/>
                <w:position w:val="8"/>
                <w:sz w:val="19"/>
              </w:rPr>
              <w:t>th</w:t>
            </w:r>
            <w:r>
              <w:rPr>
                <w:rStyle w:val="StrongEmphasis"/>
              </w:rPr>
              <w:t>): no classes</w:t>
            </w:r>
          </w:p>
        </w:tc>
      </w:tr>
      <w:tr w:rsidR="002B4E68" w14:paraId="30F83F7B" w14:textId="77777777">
        <w:tc>
          <w:tcPr>
            <w:tcW w:w="1401" w:type="dxa"/>
            <w:vAlign w:val="center"/>
          </w:tcPr>
          <w:p w14:paraId="5CD0C17D" w14:textId="77777777" w:rsidR="002B4E68" w:rsidRDefault="00000000">
            <w:pPr>
              <w:pStyle w:val="TableContents"/>
            </w:pPr>
            <w:r>
              <w:t>10/30 - 11/05</w:t>
            </w:r>
          </w:p>
        </w:tc>
        <w:tc>
          <w:tcPr>
            <w:tcW w:w="4827" w:type="dxa"/>
            <w:vAlign w:val="center"/>
          </w:tcPr>
          <w:p w14:paraId="4F9BB984" w14:textId="77777777" w:rsidR="002B4E68" w:rsidRDefault="00000000">
            <w:pPr>
              <w:pStyle w:val="TableContents"/>
              <w:spacing w:after="283"/>
            </w:pPr>
            <w:r>
              <w:t>Rotational kinematics and dynamics</w:t>
            </w:r>
          </w:p>
          <w:p w14:paraId="2428E661" w14:textId="77777777" w:rsidR="002B4E68" w:rsidRDefault="00000000">
            <w:pPr>
              <w:pStyle w:val="TableContents"/>
              <w:numPr>
                <w:ilvl w:val="0"/>
                <w:numId w:val="9"/>
              </w:numPr>
              <w:tabs>
                <w:tab w:val="left" w:pos="707"/>
              </w:tabs>
            </w:pPr>
            <w:r>
              <w:t>equations of motion for rotation</w:t>
            </w:r>
          </w:p>
          <w:p w14:paraId="501AE084" w14:textId="77777777" w:rsidR="002B4E68" w:rsidRDefault="00000000">
            <w:pPr>
              <w:pStyle w:val="TableContents"/>
              <w:numPr>
                <w:ilvl w:val="0"/>
                <w:numId w:val="9"/>
              </w:numPr>
              <w:tabs>
                <w:tab w:val="left" w:pos="707"/>
              </w:tabs>
            </w:pPr>
            <w:r>
              <w:t>moment of inertia</w:t>
            </w:r>
          </w:p>
          <w:p w14:paraId="32241A85" w14:textId="77777777" w:rsidR="002B4E68" w:rsidRDefault="00000000">
            <w:pPr>
              <w:pStyle w:val="TableContents"/>
              <w:numPr>
                <w:ilvl w:val="0"/>
                <w:numId w:val="9"/>
              </w:numPr>
              <w:tabs>
                <w:tab w:val="left" w:pos="707"/>
              </w:tabs>
            </w:pPr>
            <w:r>
              <w:t>torque and angular momentum</w:t>
            </w:r>
          </w:p>
          <w:p w14:paraId="2E1A2FBE" w14:textId="77777777" w:rsidR="002B4E68" w:rsidRDefault="00000000">
            <w:pPr>
              <w:pStyle w:val="TableContents"/>
              <w:numPr>
                <w:ilvl w:val="0"/>
                <w:numId w:val="9"/>
              </w:numPr>
              <w:tabs>
                <w:tab w:val="left" w:pos="707"/>
              </w:tabs>
              <w:spacing w:after="283"/>
            </w:pPr>
            <w:r>
              <w:t>rotational energy</w:t>
            </w:r>
          </w:p>
          <w:p w14:paraId="3DA6542E" w14:textId="77777777" w:rsidR="002B4E68" w:rsidRDefault="00000000">
            <w:pPr>
              <w:pStyle w:val="TableContents"/>
              <w:spacing w:after="283"/>
            </w:pPr>
            <w:r>
              <w:rPr>
                <w:rStyle w:val="StrongEmphasis"/>
              </w:rPr>
              <w:t>Quiz 3 on 11/04/2022</w:t>
            </w:r>
          </w:p>
        </w:tc>
      </w:tr>
      <w:tr w:rsidR="002B4E68" w14:paraId="50D47420" w14:textId="77777777">
        <w:tc>
          <w:tcPr>
            <w:tcW w:w="1401" w:type="dxa"/>
            <w:vAlign w:val="center"/>
          </w:tcPr>
          <w:p w14:paraId="3EA81232" w14:textId="77777777" w:rsidR="002B4E68" w:rsidRDefault="00000000">
            <w:pPr>
              <w:pStyle w:val="TableContents"/>
            </w:pPr>
            <w:r>
              <w:t>11/06 - 11/12</w:t>
            </w:r>
          </w:p>
        </w:tc>
        <w:tc>
          <w:tcPr>
            <w:tcW w:w="4827" w:type="dxa"/>
            <w:vAlign w:val="center"/>
          </w:tcPr>
          <w:p w14:paraId="50CEF110" w14:textId="77777777" w:rsidR="002B4E68" w:rsidRDefault="00000000">
            <w:pPr>
              <w:pStyle w:val="TableContents"/>
              <w:spacing w:after="283"/>
            </w:pPr>
            <w:r>
              <w:t>Gravitation</w:t>
            </w:r>
          </w:p>
          <w:p w14:paraId="2E02D80B" w14:textId="77777777" w:rsidR="002B4E68" w:rsidRDefault="00000000">
            <w:pPr>
              <w:pStyle w:val="TableContents"/>
              <w:numPr>
                <w:ilvl w:val="0"/>
                <w:numId w:val="10"/>
              </w:numPr>
              <w:tabs>
                <w:tab w:val="left" w:pos="707"/>
              </w:tabs>
            </w:pPr>
            <w:r>
              <w:lastRenderedPageBreak/>
              <w:t>Newton's universal law of gravitation</w:t>
            </w:r>
          </w:p>
          <w:p w14:paraId="3E26E0AF" w14:textId="77777777" w:rsidR="002B4E68" w:rsidRDefault="00000000">
            <w:pPr>
              <w:pStyle w:val="TableContents"/>
              <w:numPr>
                <w:ilvl w:val="0"/>
                <w:numId w:val="10"/>
              </w:numPr>
              <w:tabs>
                <w:tab w:val="left" w:pos="707"/>
              </w:tabs>
            </w:pPr>
            <w:r>
              <w:t>gravitational potentials</w:t>
            </w:r>
          </w:p>
          <w:p w14:paraId="7486665F" w14:textId="77777777" w:rsidR="002B4E68" w:rsidRDefault="00000000">
            <w:pPr>
              <w:pStyle w:val="TableContents"/>
              <w:numPr>
                <w:ilvl w:val="0"/>
                <w:numId w:val="10"/>
              </w:numPr>
              <w:tabs>
                <w:tab w:val="left" w:pos="707"/>
              </w:tabs>
            </w:pPr>
            <w:r>
              <w:t>orbits and Kepler's laws</w:t>
            </w:r>
          </w:p>
          <w:p w14:paraId="631251AE" w14:textId="77777777" w:rsidR="002B4E68" w:rsidRDefault="00000000">
            <w:pPr>
              <w:pStyle w:val="TableContents"/>
              <w:numPr>
                <w:ilvl w:val="0"/>
                <w:numId w:val="10"/>
              </w:numPr>
              <w:tabs>
                <w:tab w:val="left" w:pos="707"/>
              </w:tabs>
              <w:spacing w:after="283"/>
            </w:pPr>
            <w:r>
              <w:t>tides!</w:t>
            </w:r>
          </w:p>
        </w:tc>
      </w:tr>
      <w:tr w:rsidR="002B4E68" w14:paraId="650C4C6D" w14:textId="77777777">
        <w:tc>
          <w:tcPr>
            <w:tcW w:w="1401" w:type="dxa"/>
            <w:vAlign w:val="center"/>
          </w:tcPr>
          <w:p w14:paraId="0177C965" w14:textId="77777777" w:rsidR="002B4E68" w:rsidRDefault="00000000">
            <w:pPr>
              <w:pStyle w:val="TableContents"/>
            </w:pPr>
            <w:r>
              <w:lastRenderedPageBreak/>
              <w:t>11/13 - 11/19</w:t>
            </w:r>
          </w:p>
        </w:tc>
        <w:tc>
          <w:tcPr>
            <w:tcW w:w="4827" w:type="dxa"/>
            <w:vAlign w:val="center"/>
          </w:tcPr>
          <w:p w14:paraId="6B75CC08" w14:textId="77777777" w:rsidR="002B4E68" w:rsidRDefault="00000000">
            <w:pPr>
              <w:pStyle w:val="TableContents"/>
              <w:spacing w:after="283"/>
            </w:pPr>
            <w:r>
              <w:t>Fluid mechanics</w:t>
            </w:r>
          </w:p>
          <w:p w14:paraId="21212C6C" w14:textId="77777777" w:rsidR="002B4E68" w:rsidRDefault="00000000">
            <w:pPr>
              <w:pStyle w:val="TableContents"/>
              <w:numPr>
                <w:ilvl w:val="0"/>
                <w:numId w:val="11"/>
              </w:numPr>
              <w:tabs>
                <w:tab w:val="left" w:pos="707"/>
              </w:tabs>
            </w:pPr>
            <w:r>
              <w:t>Archimedes' principle and buyoancy</w:t>
            </w:r>
          </w:p>
          <w:p w14:paraId="10B1DE44" w14:textId="77777777" w:rsidR="002B4E68" w:rsidRDefault="00000000">
            <w:pPr>
              <w:pStyle w:val="TableContents"/>
              <w:numPr>
                <w:ilvl w:val="0"/>
                <w:numId w:val="11"/>
              </w:numPr>
              <w:tabs>
                <w:tab w:val="left" w:pos="707"/>
              </w:tabs>
            </w:pPr>
            <w:r>
              <w:t>Bernoulli's equation</w:t>
            </w:r>
          </w:p>
          <w:p w14:paraId="12A87E91" w14:textId="77777777" w:rsidR="002B4E68" w:rsidRDefault="00000000">
            <w:pPr>
              <w:pStyle w:val="TableContents"/>
              <w:numPr>
                <w:ilvl w:val="0"/>
                <w:numId w:val="11"/>
              </w:numPr>
              <w:tabs>
                <w:tab w:val="left" w:pos="707"/>
              </w:tabs>
              <w:spacing w:after="283"/>
            </w:pPr>
            <w:r>
              <w:t>viscosity </w:t>
            </w:r>
          </w:p>
        </w:tc>
      </w:tr>
      <w:tr w:rsidR="002B4E68" w14:paraId="3A5F58B1" w14:textId="77777777">
        <w:tc>
          <w:tcPr>
            <w:tcW w:w="1401" w:type="dxa"/>
            <w:vAlign w:val="center"/>
          </w:tcPr>
          <w:p w14:paraId="23DCE3F1" w14:textId="77777777" w:rsidR="002B4E68" w:rsidRDefault="00000000">
            <w:pPr>
              <w:pStyle w:val="TableContents"/>
            </w:pPr>
            <w:r>
              <w:t>11/20 - 11/26</w:t>
            </w:r>
          </w:p>
        </w:tc>
        <w:tc>
          <w:tcPr>
            <w:tcW w:w="4827" w:type="dxa"/>
            <w:vAlign w:val="center"/>
          </w:tcPr>
          <w:p w14:paraId="6C214F11" w14:textId="77777777" w:rsidR="002B4E68" w:rsidRDefault="00000000">
            <w:pPr>
              <w:pStyle w:val="TableContents"/>
              <w:spacing w:after="283"/>
            </w:pPr>
            <w:r>
              <w:t>Oscillations</w:t>
            </w:r>
          </w:p>
          <w:p w14:paraId="54E33A0F" w14:textId="77777777" w:rsidR="002B4E68" w:rsidRDefault="00000000">
            <w:pPr>
              <w:pStyle w:val="TableContents"/>
              <w:numPr>
                <w:ilvl w:val="0"/>
                <w:numId w:val="12"/>
              </w:numPr>
              <w:tabs>
                <w:tab w:val="left" w:pos="707"/>
              </w:tabs>
            </w:pPr>
            <w:r>
              <w:t>Simple harmonic motion</w:t>
            </w:r>
          </w:p>
          <w:p w14:paraId="2C372718" w14:textId="77777777" w:rsidR="002B4E68" w:rsidRDefault="00000000">
            <w:pPr>
              <w:pStyle w:val="TableContents"/>
              <w:numPr>
                <w:ilvl w:val="0"/>
                <w:numId w:val="12"/>
              </w:numPr>
              <w:tabs>
                <w:tab w:val="left" w:pos="707"/>
              </w:tabs>
            </w:pPr>
            <w:r>
              <w:t>energy conservation</w:t>
            </w:r>
          </w:p>
          <w:p w14:paraId="5AE38ECC" w14:textId="77777777" w:rsidR="002B4E68" w:rsidRDefault="00000000">
            <w:pPr>
              <w:pStyle w:val="TableContents"/>
              <w:numPr>
                <w:ilvl w:val="0"/>
                <w:numId w:val="12"/>
              </w:numPr>
              <w:tabs>
                <w:tab w:val="left" w:pos="707"/>
              </w:tabs>
              <w:spacing w:after="283"/>
            </w:pPr>
            <w:r>
              <w:t>damped and forced harmonic oscillators</w:t>
            </w:r>
          </w:p>
          <w:p w14:paraId="66EA0219" w14:textId="77777777" w:rsidR="002B4E68" w:rsidRDefault="00000000">
            <w:pPr>
              <w:pStyle w:val="TableContents"/>
              <w:spacing w:after="283"/>
            </w:pPr>
            <w:r>
              <w:rPr>
                <w:rStyle w:val="StrongEmphasis"/>
              </w:rPr>
              <w:t>Thanksgiving (23</w:t>
            </w:r>
            <w:r>
              <w:rPr>
                <w:rStyle w:val="StrongEmphasis"/>
                <w:position w:val="8"/>
                <w:sz w:val="19"/>
              </w:rPr>
              <w:t>rd</w:t>
            </w:r>
            <w:r>
              <w:rPr>
                <w:rStyle w:val="StrongEmphasis"/>
              </w:rPr>
              <w:t>, 24</w:t>
            </w:r>
            <w:r>
              <w:rPr>
                <w:rStyle w:val="StrongEmphasis"/>
                <w:position w:val="8"/>
                <w:sz w:val="19"/>
              </w:rPr>
              <w:t>th</w:t>
            </w:r>
            <w:r>
              <w:rPr>
                <w:rStyle w:val="StrongEmphasis"/>
              </w:rPr>
              <w:t xml:space="preserve"> and 25</w:t>
            </w:r>
            <w:r>
              <w:rPr>
                <w:rStyle w:val="StrongEmphasis"/>
                <w:position w:val="8"/>
                <w:sz w:val="19"/>
              </w:rPr>
              <w:t>th</w:t>
            </w:r>
            <w:r>
              <w:rPr>
                <w:rStyle w:val="StrongEmphasis"/>
              </w:rPr>
              <w:t>): no classes</w:t>
            </w:r>
          </w:p>
        </w:tc>
      </w:tr>
      <w:tr w:rsidR="002B4E68" w14:paraId="71518094" w14:textId="77777777">
        <w:tc>
          <w:tcPr>
            <w:tcW w:w="1401" w:type="dxa"/>
            <w:vAlign w:val="center"/>
          </w:tcPr>
          <w:p w14:paraId="76DA4F72" w14:textId="77777777" w:rsidR="002B4E68" w:rsidRDefault="00000000">
            <w:pPr>
              <w:pStyle w:val="TableContents"/>
            </w:pPr>
            <w:r>
              <w:t>11/27 - 12/03</w:t>
            </w:r>
          </w:p>
        </w:tc>
        <w:tc>
          <w:tcPr>
            <w:tcW w:w="4827" w:type="dxa"/>
            <w:vAlign w:val="center"/>
          </w:tcPr>
          <w:p w14:paraId="3026BDC1" w14:textId="77777777" w:rsidR="002B4E68" w:rsidRDefault="00000000">
            <w:pPr>
              <w:pStyle w:val="TableContents"/>
              <w:spacing w:after="283"/>
            </w:pPr>
            <w:r>
              <w:t>Waves</w:t>
            </w:r>
          </w:p>
          <w:p w14:paraId="594A59F9" w14:textId="77777777" w:rsidR="002B4E68" w:rsidRDefault="00000000">
            <w:pPr>
              <w:pStyle w:val="TableContents"/>
              <w:numPr>
                <w:ilvl w:val="0"/>
                <w:numId w:val="13"/>
              </w:numPr>
              <w:tabs>
                <w:tab w:val="left" w:pos="707"/>
              </w:tabs>
            </w:pPr>
            <w:r>
              <w:t>types of waves</w:t>
            </w:r>
          </w:p>
          <w:p w14:paraId="146A7C87" w14:textId="77777777" w:rsidR="002B4E68" w:rsidRDefault="00000000">
            <w:pPr>
              <w:pStyle w:val="TableContents"/>
              <w:numPr>
                <w:ilvl w:val="0"/>
                <w:numId w:val="13"/>
              </w:numPr>
              <w:tabs>
                <w:tab w:val="left" w:pos="707"/>
              </w:tabs>
            </w:pPr>
            <w:r>
              <w:t>energy carried in waves</w:t>
            </w:r>
          </w:p>
          <w:p w14:paraId="5437FD11" w14:textId="77777777" w:rsidR="002B4E68" w:rsidRDefault="00000000">
            <w:pPr>
              <w:pStyle w:val="TableContents"/>
              <w:numPr>
                <w:ilvl w:val="0"/>
                <w:numId w:val="13"/>
              </w:numPr>
              <w:tabs>
                <w:tab w:val="left" w:pos="707"/>
              </w:tabs>
              <w:spacing w:after="283"/>
            </w:pPr>
            <w:r>
              <w:t>wave phenomena</w:t>
            </w:r>
          </w:p>
          <w:p w14:paraId="02F44D98" w14:textId="77777777" w:rsidR="002B4E68" w:rsidRDefault="00000000">
            <w:pPr>
              <w:pStyle w:val="TableContents"/>
              <w:spacing w:after="283"/>
            </w:pPr>
            <w:r>
              <w:rPr>
                <w:rStyle w:val="StrongEmphasis"/>
              </w:rPr>
              <w:t>Quiz 4 on 12/02/2022</w:t>
            </w:r>
          </w:p>
        </w:tc>
      </w:tr>
      <w:tr w:rsidR="002B4E68" w14:paraId="09B62CD9" w14:textId="77777777">
        <w:tc>
          <w:tcPr>
            <w:tcW w:w="1401" w:type="dxa"/>
            <w:vAlign w:val="center"/>
          </w:tcPr>
          <w:p w14:paraId="5EBEAF18" w14:textId="77777777" w:rsidR="002B4E68" w:rsidRDefault="00000000">
            <w:pPr>
              <w:pStyle w:val="TableContents"/>
            </w:pPr>
            <w:r>
              <w:t>12/04 - 12/10</w:t>
            </w:r>
          </w:p>
        </w:tc>
        <w:tc>
          <w:tcPr>
            <w:tcW w:w="4827" w:type="dxa"/>
            <w:vAlign w:val="center"/>
          </w:tcPr>
          <w:p w14:paraId="545009E7" w14:textId="77777777" w:rsidR="002B4E68" w:rsidRDefault="00000000">
            <w:pPr>
              <w:pStyle w:val="TableContents"/>
              <w:spacing w:after="283"/>
            </w:pPr>
            <w:r>
              <w:t>Heat and thermodynamics</w:t>
            </w:r>
          </w:p>
          <w:p w14:paraId="1D98C91F" w14:textId="77777777" w:rsidR="002B4E68" w:rsidRDefault="00000000">
            <w:pPr>
              <w:pStyle w:val="TableContents"/>
              <w:numPr>
                <w:ilvl w:val="0"/>
                <w:numId w:val="14"/>
              </w:numPr>
              <w:tabs>
                <w:tab w:val="left" w:pos="707"/>
              </w:tabs>
            </w:pPr>
            <w:r>
              <w:t>laws of thermodynamics</w:t>
            </w:r>
          </w:p>
          <w:p w14:paraId="09687AD0" w14:textId="77777777" w:rsidR="002B4E68" w:rsidRDefault="00000000">
            <w:pPr>
              <w:pStyle w:val="TableContents"/>
              <w:numPr>
                <w:ilvl w:val="0"/>
                <w:numId w:val="14"/>
              </w:numPr>
              <w:tabs>
                <w:tab w:val="left" w:pos="707"/>
              </w:tabs>
            </w:pPr>
            <w:r>
              <w:t>entropy</w:t>
            </w:r>
          </w:p>
          <w:p w14:paraId="083C3B28" w14:textId="77777777" w:rsidR="002B4E68" w:rsidRDefault="00000000">
            <w:pPr>
              <w:pStyle w:val="TableContents"/>
              <w:numPr>
                <w:ilvl w:val="0"/>
                <w:numId w:val="14"/>
              </w:numPr>
              <w:tabs>
                <w:tab w:val="left" w:pos="707"/>
              </w:tabs>
              <w:spacing w:after="283"/>
            </w:pPr>
            <w:r>
              <w:t>heat engines</w:t>
            </w:r>
          </w:p>
        </w:tc>
      </w:tr>
      <w:tr w:rsidR="002B4E68" w14:paraId="2644F0AE" w14:textId="77777777">
        <w:tc>
          <w:tcPr>
            <w:tcW w:w="1401" w:type="dxa"/>
            <w:vAlign w:val="center"/>
          </w:tcPr>
          <w:p w14:paraId="2CE346F7" w14:textId="77777777" w:rsidR="002B4E68" w:rsidRDefault="00000000">
            <w:pPr>
              <w:pStyle w:val="TableContents"/>
            </w:pPr>
            <w:r>
              <w:t>12/11 - 12/17</w:t>
            </w:r>
          </w:p>
        </w:tc>
        <w:tc>
          <w:tcPr>
            <w:tcW w:w="4827" w:type="dxa"/>
            <w:vAlign w:val="center"/>
          </w:tcPr>
          <w:p w14:paraId="26264C2C" w14:textId="77777777" w:rsidR="002B4E68" w:rsidRDefault="00000000">
            <w:pPr>
              <w:pStyle w:val="TableContents"/>
            </w:pPr>
            <w:r>
              <w:t>Fina; review</w:t>
            </w:r>
            <w:r>
              <w:br/>
            </w:r>
            <w:r>
              <w:rPr>
                <w:rStyle w:val="StrongEmphasis"/>
              </w:rPr>
              <w:t>Final day of class on the 15</w:t>
            </w:r>
            <w:r>
              <w:rPr>
                <w:rStyle w:val="StrongEmphasis"/>
                <w:position w:val="8"/>
                <w:sz w:val="19"/>
              </w:rPr>
              <w:t>th</w:t>
            </w:r>
          </w:p>
        </w:tc>
      </w:tr>
    </w:tbl>
    <w:p w14:paraId="3DD1FBA2" w14:textId="77777777" w:rsidR="002B4E68" w:rsidRDefault="002B4E68">
      <w:pPr>
        <w:pStyle w:val="BodyText"/>
      </w:pPr>
    </w:p>
    <w:p w14:paraId="3BAF4713" w14:textId="77777777" w:rsidR="002B4E68" w:rsidRDefault="00000000">
      <w:pPr>
        <w:pStyle w:val="Heading4"/>
      </w:pPr>
      <w:r>
        <w:t>Gustavus Adolphus College Honor Code</w:t>
      </w:r>
    </w:p>
    <w:p w14:paraId="4E4679D8" w14:textId="77777777" w:rsidR="002B4E68" w:rsidRDefault="00000000">
      <w:pPr>
        <w:pStyle w:val="BodyText"/>
      </w:pPr>
      <w:r>
        <w:t xml:space="preserve">The overarching principle of the Academic Honesty Policy is that students shall submit their own work, in fairness to others and to self. Your professor wants you, a developing scholar, to be able to take pride in your own academic work and to maintain your academic integrity. Citations must accompany any use of another’s words or ideas that are not common knowledge. Quoting or paraphrasing from electronic sources without proper citation is as serious a violation as copying from a book or other printed source. A student may not submit work that is substantially the same in two courses without </w:t>
      </w:r>
      <w:r>
        <w:lastRenderedPageBreak/>
        <w:t>first gaining permission of both instructors if the courses are taken concurrently, or permission of the current instructor if the work has been submitted in a previous semester. Ask your professor if you have questions about a particular assignment or kind of work. Please make sure you fully understand the rules related to online work, as it pertains to this course. Unauthorized aid during online exams and assignments is every bit as serious and inappropriate as it would be in an in-person course. In fact, in the online environment it is sometimes easier for faculty to detect violations.</w:t>
      </w:r>
    </w:p>
    <w:p w14:paraId="00BD3A6D" w14:textId="77777777" w:rsidR="002B4E68" w:rsidRDefault="00000000">
      <w:pPr>
        <w:pStyle w:val="BodyText"/>
      </w:pPr>
      <w:r>
        <w:t xml:space="preserve">The sanction in this course for a violation of the Honor Code involving plagiarism, copying another student on an exam, or other kinds of cheating on a single assignment will usually be an “F” on the plagiarized assignment or exam. For a more significant event, I, your professor, reserve the right to assign you a grade of “F” for the course. In addition, for any Honor Code violation, I will notify the Provost’s Office. A letter will be generated by the Provost’s Office and sent to you. The letter will remain on file. There will be no further consequence, beyond the course penalty and the letter, if you do not commit any further Honor Code violations. Repeat offenses could ultimately lead to dismissal from the College. You have the right to appeal any Honor Code violation through an Honor Board hearing process. In this course, your professor aims for you to learn how to cite sources properly, do your own work on all exams, and function as a scholar with integrity. Please feel welcome to ask questions about the important matter of Academic Honesty and let me know how I can best support your learning. </w:t>
      </w:r>
    </w:p>
    <w:p w14:paraId="76770ABC" w14:textId="77777777" w:rsidR="002B4E68" w:rsidRDefault="00000000">
      <w:pPr>
        <w:pStyle w:val="BodyText"/>
      </w:pPr>
      <w:r>
        <w:t xml:space="preserve">For detailed information, please refer to the following link under </w:t>
      </w:r>
      <w:r>
        <w:rPr>
          <w:rStyle w:val="StrongEmphasis"/>
        </w:rPr>
        <w:t>Academic Information and Policies</w:t>
      </w:r>
    </w:p>
    <w:p w14:paraId="4FE3D5C5" w14:textId="77777777" w:rsidR="002B4E68" w:rsidRDefault="00000000">
      <w:pPr>
        <w:pStyle w:val="BodyText"/>
        <w:rPr>
          <w:rStyle w:val="StrongEmphasis"/>
        </w:rPr>
      </w:pPr>
      <w:hyperlink r:id="rId7">
        <w:r>
          <w:rPr>
            <w:rStyle w:val="Hyperlink"/>
          </w:rPr>
          <w:t>https://gustavus.edu/general_catalog/21_22/academic_bulletin_21_22.pdf</w:t>
        </w:r>
      </w:hyperlink>
    </w:p>
    <w:p w14:paraId="728CB52A" w14:textId="77777777" w:rsidR="002B4E68" w:rsidRDefault="00000000">
      <w:pPr>
        <w:pStyle w:val="Heading4"/>
      </w:pPr>
      <w:r>
        <w:t>Academic Accomodations</w:t>
      </w:r>
    </w:p>
    <w:p w14:paraId="1B0EFADB" w14:textId="77777777" w:rsidR="002B4E68" w:rsidRDefault="00000000">
      <w:pPr>
        <w:pStyle w:val="BodyText"/>
      </w:pPr>
      <w:r>
        <w:t>Gustavus Adolphus College is committed to ensuring equitable and inclusive learning environments for all students. If you have a disability and anticipate or experience barriers to equal access, please speak with the accessibility resources staff about your needs. A disability may include mental health, attentional, learning, chronic health, sensory, physical, and/or short-term conditions. When appropriate, staff will guide students and professors in making accommodations to ensure equal access. Accommodations cannot be made retroactively; therefore, to maximize your academic success at Gustavus, please contact them as early as possible. Accessibility resources staff are located in the Academic Support Center (</w:t>
      </w:r>
      <w:hyperlink r:id="rId8">
        <w:r>
          <w:rPr>
            <w:rStyle w:val="Hyperlink"/>
          </w:rPr>
          <w:t>https://gustavus.edu/asc/accessibility/</w:t>
        </w:r>
      </w:hyperlink>
      <w:r>
        <w:t>) (x7227). Accessibility Resources Coordinator, Corrie Odland (</w:t>
      </w:r>
      <w:hyperlink r:id="rId9">
        <w:r>
          <w:rPr>
            <w:rStyle w:val="Hyperlink"/>
          </w:rPr>
          <w:t>codland@gustavus.edu</w:t>
        </w:r>
      </w:hyperlink>
      <w:r>
        <w:t>), can provide further information.</w:t>
      </w:r>
    </w:p>
    <w:p w14:paraId="28BA5AEF" w14:textId="77777777" w:rsidR="002B4E68" w:rsidRDefault="00000000">
      <w:pPr>
        <w:pStyle w:val="Heading4"/>
      </w:pPr>
      <w:r>
        <w:t>Academic Accommodation for Religious Observance</w:t>
      </w:r>
    </w:p>
    <w:p w14:paraId="103F3F38" w14:textId="77777777" w:rsidR="002B4E68" w:rsidRDefault="00000000">
      <w:pPr>
        <w:pStyle w:val="BodyText"/>
      </w:pPr>
      <w:r>
        <w:t xml:space="preserve">A student whose religious observance conflicts with a course requirement may request an academic accommodation from the instructor. Students should normally make such requests in writing by the end of the second week of classes, but there may be exceptions. Students may also request accommodations for religious traditions surrounding death and dying when the need arises. The Chaplains' Office annually publishes a multifaith holiday calendar with accommodation notations. You can find it here: </w:t>
      </w:r>
      <w:hyperlink r:id="rId10">
        <w:r>
          <w:rPr>
            <w:rStyle w:val="Hyperlink"/>
          </w:rPr>
          <w:t>https://gustavus.edu/chaplain/multifaith/</w:t>
        </w:r>
      </w:hyperlink>
      <w:r>
        <w:t>. However, this list is not exhaustive and observances are not necessarily days when individuals will not attend work or school. There are also different levels of observance in different traditions. The Chaplains’ Office is available for consultation on any requests for accommodation that are not included in their calendar.</w:t>
      </w:r>
    </w:p>
    <w:p w14:paraId="65690A41" w14:textId="77777777" w:rsidR="002B4E68" w:rsidRDefault="00000000">
      <w:pPr>
        <w:pStyle w:val="Heading4"/>
      </w:pPr>
      <w:r>
        <w:lastRenderedPageBreak/>
        <w:t>COVID Resources</w:t>
      </w:r>
    </w:p>
    <w:p w14:paraId="09BB4153" w14:textId="77777777" w:rsidR="002B4E68" w:rsidRDefault="00000000">
      <w:pPr>
        <w:pStyle w:val="BodyText"/>
      </w:pPr>
      <w:r>
        <w:t>Gustavus Adolphus College is committed to ensuring equitable and inclusive learning environments for all students. If you have a non-disability-related academic concern related to COVID for which you are not already receiving assistance from the Academic Support Center, please contact the Provost’s Office (</w:t>
      </w:r>
      <w:hyperlink r:id="rId11">
        <w:r>
          <w:rPr>
            <w:rStyle w:val="Hyperlink"/>
          </w:rPr>
          <w:t>provostoffice@gustavus.edu</w:t>
        </w:r>
      </w:hyperlink>
      <w:r>
        <w:t>). When appropriate, the Provost’s Office will help guide students and faculty in making any necessary academic adjustments.</w:t>
      </w:r>
    </w:p>
    <w:p w14:paraId="6FC5BB3B" w14:textId="77777777" w:rsidR="002B4E68" w:rsidRDefault="00000000">
      <w:pPr>
        <w:pStyle w:val="Heading4"/>
      </w:pPr>
      <w:bookmarkStart w:id="120" w:name="_Toc110524708"/>
      <w:bookmarkEnd w:id="120"/>
      <w:r>
        <w:t>Multilingual Student Support</w:t>
      </w:r>
    </w:p>
    <w:p w14:paraId="0FACBB7A" w14:textId="77777777" w:rsidR="002B4E68" w:rsidRDefault="00000000">
      <w:pPr>
        <w:pStyle w:val="BodyText"/>
      </w:pPr>
      <w:r>
        <w:t>Some Gusties may have grown up speaking a language (or languages) other than English at home. If so, we refer to you as “multilingual.” Your multilingual background is an incredible resource for you, and for our campus, but it can come with some challenges. You can find support through the Center for International and Cultural Education’s (</w:t>
      </w:r>
      <w:hyperlink r:id="rId12">
        <w:r>
          <w:rPr>
            <w:rStyle w:val="Hyperlink"/>
          </w:rPr>
          <w:t>https://gustavus.edu/cice/</w:t>
        </w:r>
      </w:hyperlink>
      <w:r>
        <w:t>) Multilingual and Intercultural Program Coordinator (MIPC), Pam Pearson (</w:t>
      </w:r>
      <w:hyperlink r:id="rId13">
        <w:r>
          <w:rPr>
            <w:rStyle w:val="Hyperlink"/>
          </w:rPr>
          <w:t>ppearson@gustavus.edu</w:t>
        </w:r>
      </w:hyperlink>
      <w:r>
        <w:t>). Pam can meet individually for tutoring in writing, consulting about specific assignments, and helping students connect with the College’s support systems. If you want help with a specific task (for example, reading word problems on an exam quickly enough or revising grammar in essays), let your professor and Pam know as soon as possible. In addition, the Writing Center (</w:t>
      </w:r>
      <w:hyperlink r:id="rId14">
        <w:r>
          <w:rPr>
            <w:rStyle w:val="Hyperlink"/>
          </w:rPr>
          <w:t>https://gustavus.edu/writingcenter/</w:t>
        </w:r>
      </w:hyperlink>
      <w:r>
        <w:t>) offers tutoring from peers (some of whom are themselves multilingual) who can help you do your best writing.</w:t>
      </w:r>
    </w:p>
    <w:p w14:paraId="70A0E04E" w14:textId="77777777" w:rsidR="002B4E68" w:rsidRDefault="00000000">
      <w:pPr>
        <w:pStyle w:val="Heading4"/>
      </w:pPr>
      <w:bookmarkStart w:id="121" w:name="_Toc110524709"/>
      <w:bookmarkEnd w:id="121"/>
      <w:r>
        <w:t>Mental Wellbeing</w:t>
      </w:r>
    </w:p>
    <w:p w14:paraId="66C9F7E3" w14:textId="77777777" w:rsidR="002B4E68" w:rsidRDefault="00000000">
      <w:pPr>
        <w:pStyle w:val="BodyText"/>
      </w:pPr>
      <w:r>
        <w:t xml:space="preserve">The Gustavus community is committed to and cares about all students. Strained relationships, increased anxiety, alcohol or drug problems, feeling down, difficulty concentrating, and/or lack of motivation may affect a student’s academic performance or reduce a student’s ability to participate in daily activities. If you or someone you know expresses such mental health concerns or experiences a stressful event that can create barriers to learning, Gustavus services are available to assist you, and include online options. You can learn more about the broad range of confidential health services available on campus at </w:t>
      </w:r>
      <w:hyperlink r:id="rId15">
        <w:r>
          <w:rPr>
            <w:rStyle w:val="Hyperlink"/>
          </w:rPr>
          <w:t>https://gustavus.edu/counseling/</w:t>
        </w:r>
      </w:hyperlink>
      <w:r>
        <w:t xml:space="preserve"> and </w:t>
      </w:r>
      <w:hyperlink r:id="rId16">
        <w:r>
          <w:rPr>
            <w:rStyle w:val="Hyperlink"/>
          </w:rPr>
          <w:t>https://gustavus.edu/deanofstudents/services/</w:t>
        </w:r>
      </w:hyperlink>
      <w:r>
        <w:t xml:space="preserve">. </w:t>
      </w:r>
    </w:p>
    <w:p w14:paraId="6D379A80" w14:textId="77777777" w:rsidR="002B4E68" w:rsidRDefault="00000000">
      <w:pPr>
        <w:pStyle w:val="Heading4"/>
      </w:pPr>
      <w:r>
        <w:t>Title IX: Sexual Misconduct Prevention and Resources</w:t>
      </w:r>
    </w:p>
    <w:p w14:paraId="092F14F1" w14:textId="77777777" w:rsidR="002B4E68" w:rsidRDefault="00000000">
      <w:pPr>
        <w:pStyle w:val="BodyText"/>
      </w:pPr>
      <w:r>
        <w:t xml:space="preserve">Gustavus Adolphus College recognizes the dignity of all individuals and promotes respect for all people. As such, we are committed to providing an environment free of all forms of discrimination including sexual and gender-based discrimination, harassment, and violence like sexual assault, domestic violence, dating violence, and stalking. If you (or someone you know) has experienced or is experiencing these types of behaviors, know that you are not alone. Resources and support are available; you can learn more online at </w:t>
      </w:r>
      <w:hyperlink r:id="rId17">
        <w:r>
          <w:rPr>
            <w:rStyle w:val="Hyperlink"/>
          </w:rPr>
          <w:t>https://gustavus.edu/titleix/</w:t>
        </w:r>
      </w:hyperlink>
      <w:r>
        <w:t>.</w:t>
      </w:r>
    </w:p>
    <w:p w14:paraId="6E431F84" w14:textId="77777777" w:rsidR="002B4E68" w:rsidRDefault="00000000">
      <w:pPr>
        <w:pStyle w:val="BodyText"/>
      </w:pPr>
      <w:r>
        <w:t xml:space="preserve">Please know that if you choose to confide in me, I am required by the College to report to the Title IX Coordinator, because Gustavus and I want to be sure you are connected with all the support the College can offer. Although it is encouraged, you are not required to respond to outreach from the College if you do not want to. You may speak to someone confidentially by contacting the Sexual Assault Response Team (SART/CADA), Chaplains, Counseling Center, or Health Service staff; conversations with these individuals can be kept strictly confidential. SART/CADA can be reached 24 hours a day at </w:t>
      </w:r>
      <w:r>
        <w:lastRenderedPageBreak/>
        <w:t xml:space="preserve">507-933-6868. You can also make a report yourself, including an anonymous report, through the form at </w:t>
      </w:r>
      <w:hyperlink r:id="rId18">
        <w:r>
          <w:rPr>
            <w:rStyle w:val="Hyperlink"/>
          </w:rPr>
          <w:t>https://gustavus.edu/titleix/</w:t>
        </w:r>
      </w:hyperlink>
      <w:r>
        <w:t>.</w:t>
      </w:r>
    </w:p>
    <w:p w14:paraId="201CED1D" w14:textId="77777777" w:rsidR="002B4E68" w:rsidRDefault="002B4E68"/>
    <w:sectPr w:rsidR="002B4E6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Symbol">
    <w:altName w:val="Segoe UI Symbol"/>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STIXGeneral">
    <w:altName w:val="Calibri"/>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DB8"/>
    <w:multiLevelType w:val="multilevel"/>
    <w:tmpl w:val="4ED6D28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037438B7"/>
    <w:multiLevelType w:val="multilevel"/>
    <w:tmpl w:val="FCAE5F0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03981234"/>
    <w:multiLevelType w:val="multilevel"/>
    <w:tmpl w:val="349A4EF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04915C72"/>
    <w:multiLevelType w:val="multilevel"/>
    <w:tmpl w:val="A10CEC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090B208E"/>
    <w:multiLevelType w:val="multilevel"/>
    <w:tmpl w:val="4FA4A0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22C10C77"/>
    <w:multiLevelType w:val="multilevel"/>
    <w:tmpl w:val="D996D1B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35F5287F"/>
    <w:multiLevelType w:val="multilevel"/>
    <w:tmpl w:val="81A64BB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3DB16D29"/>
    <w:multiLevelType w:val="multilevel"/>
    <w:tmpl w:val="1C7E4D1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518F279D"/>
    <w:multiLevelType w:val="multilevel"/>
    <w:tmpl w:val="E9AC1B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57010705"/>
    <w:multiLevelType w:val="multilevel"/>
    <w:tmpl w:val="DB48E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FE21ED6"/>
    <w:multiLevelType w:val="multilevel"/>
    <w:tmpl w:val="481494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15:restartNumberingAfterBreak="0">
    <w:nsid w:val="69AA7347"/>
    <w:multiLevelType w:val="multilevel"/>
    <w:tmpl w:val="575280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15:restartNumberingAfterBreak="0">
    <w:nsid w:val="6D9369C2"/>
    <w:multiLevelType w:val="multilevel"/>
    <w:tmpl w:val="F2E26AA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70B17D58"/>
    <w:multiLevelType w:val="multilevel"/>
    <w:tmpl w:val="B58438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15:restartNumberingAfterBreak="0">
    <w:nsid w:val="74A12751"/>
    <w:multiLevelType w:val="multilevel"/>
    <w:tmpl w:val="1EA882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246113347">
    <w:abstractNumId w:val="12"/>
  </w:num>
  <w:num w:numId="2" w16cid:durableId="812991724">
    <w:abstractNumId w:val="2"/>
  </w:num>
  <w:num w:numId="3" w16cid:durableId="2118795960">
    <w:abstractNumId w:val="14"/>
  </w:num>
  <w:num w:numId="4" w16cid:durableId="1097099915">
    <w:abstractNumId w:val="1"/>
  </w:num>
  <w:num w:numId="5" w16cid:durableId="907034964">
    <w:abstractNumId w:val="8"/>
  </w:num>
  <w:num w:numId="6" w16cid:durableId="1313634900">
    <w:abstractNumId w:val="0"/>
  </w:num>
  <w:num w:numId="7" w16cid:durableId="17589962">
    <w:abstractNumId w:val="6"/>
  </w:num>
  <w:num w:numId="8" w16cid:durableId="1239097884">
    <w:abstractNumId w:val="3"/>
  </w:num>
  <w:num w:numId="9" w16cid:durableId="410274487">
    <w:abstractNumId w:val="11"/>
  </w:num>
  <w:num w:numId="10" w16cid:durableId="1004942225">
    <w:abstractNumId w:val="13"/>
  </w:num>
  <w:num w:numId="11" w16cid:durableId="772820800">
    <w:abstractNumId w:val="10"/>
  </w:num>
  <w:num w:numId="12" w16cid:durableId="2037612540">
    <w:abstractNumId w:val="7"/>
  </w:num>
  <w:num w:numId="13" w16cid:durableId="922182354">
    <w:abstractNumId w:val="5"/>
  </w:num>
  <w:num w:numId="14" w16cid:durableId="1440182152">
    <w:abstractNumId w:val="4"/>
  </w:num>
  <w:num w:numId="15" w16cid:durableId="895311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68"/>
    <w:rsid w:val="002B4E68"/>
    <w:rsid w:val="0059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B8DD"/>
  <w15:docId w15:val="{7F0C1EF1-FF9A-4D4D-B9F6-CC98A513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Heading"/>
    <w:next w:val="BodyText"/>
    <w:uiPriority w:val="9"/>
    <w:unhideWhenUsed/>
    <w:qFormat/>
    <w:pPr>
      <w:spacing w:before="120"/>
      <w:outlineLvl w:val="3"/>
    </w:pPr>
    <w:rPr>
      <w:rFonts w:ascii="Liberation Serif" w:eastAsia="Noto Serif CJK SC"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NumberingSymbols">
    <w:name w:val="Numbering Symbols"/>
    <w:qFormat/>
  </w:style>
  <w:style w:type="character" w:styleId="Emphasis">
    <w:name w:val="Emphasis"/>
    <w:qFormat/>
    <w:rPr>
      <w:i/>
      <w:iCs/>
    </w:rPr>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ustavus.edu/asc/accessibility/" TargetMode="External"/><Relationship Id="rId13" Type="http://schemas.openxmlformats.org/officeDocument/2006/relationships/hyperlink" Target="mailto:ppearson@gustavus.edu" TargetMode="External"/><Relationship Id="rId18" Type="http://schemas.openxmlformats.org/officeDocument/2006/relationships/hyperlink" Target="https://gustavus.edu/titleix/" TargetMode="External"/><Relationship Id="rId3" Type="http://schemas.openxmlformats.org/officeDocument/2006/relationships/settings" Target="settings.xml"/><Relationship Id="rId7" Type="http://schemas.openxmlformats.org/officeDocument/2006/relationships/hyperlink" Target="https://gustavus.edu/general_catalog/21_22/academic_bulletin_21_22.pdf" TargetMode="External"/><Relationship Id="rId12" Type="http://schemas.openxmlformats.org/officeDocument/2006/relationships/hyperlink" Target="https://gustavus.edu/cice/" TargetMode="External"/><Relationship Id="rId17" Type="http://schemas.openxmlformats.org/officeDocument/2006/relationships/hyperlink" Target="https://gustavus.edu/titleix/" TargetMode="External"/><Relationship Id="rId2" Type="http://schemas.openxmlformats.org/officeDocument/2006/relationships/styles" Target="styles.xml"/><Relationship Id="rId16" Type="http://schemas.openxmlformats.org/officeDocument/2006/relationships/hyperlink" Target="https://gustavus.edu/deanofstudents/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nstax.org/details/books/university-physics-volume-2" TargetMode="External"/><Relationship Id="rId11" Type="http://schemas.openxmlformats.org/officeDocument/2006/relationships/hyperlink" Target="mailto:provostoffice@gustavus.edu" TargetMode="External"/><Relationship Id="rId5" Type="http://schemas.openxmlformats.org/officeDocument/2006/relationships/hyperlink" Target="https://moodle.gustavus.edu/mod/url/view.php?id=7933" TargetMode="External"/><Relationship Id="rId15" Type="http://schemas.openxmlformats.org/officeDocument/2006/relationships/hyperlink" Target="https://gustavus.edu/counseling/" TargetMode="External"/><Relationship Id="rId10" Type="http://schemas.openxmlformats.org/officeDocument/2006/relationships/hyperlink" Target="https://gustavus.edu/chaplain/multifai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dland@gustavus.edu" TargetMode="External"/><Relationship Id="rId14" Type="http://schemas.openxmlformats.org/officeDocument/2006/relationships/hyperlink" Target="https://gustavus.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2249</Words>
  <Characters>12821</Characters>
  <Application>Microsoft Office Word</Application>
  <DocSecurity>0</DocSecurity>
  <Lines>106</Lines>
  <Paragraphs>30</Paragraphs>
  <ScaleCrop>false</ScaleCrop>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Boomgaarden</dc:creator>
  <dc:description/>
  <cp:lastModifiedBy>Laura Boomgaarden</cp:lastModifiedBy>
  <cp:revision>2</cp:revision>
  <dcterms:created xsi:type="dcterms:W3CDTF">2022-09-20T19:53:00Z</dcterms:created>
  <dcterms:modified xsi:type="dcterms:W3CDTF">2022-09-20T19:53:00Z</dcterms:modified>
  <dc:language>en-US</dc:language>
</cp:coreProperties>
</file>