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AC" w:rsidRPr="007C055A" w:rsidRDefault="00290BAC" w:rsidP="00290BAC">
      <w:pPr>
        <w:jc w:val="center"/>
        <w:rPr>
          <w:rFonts w:ascii="Cambria" w:hAnsi="Cambria"/>
          <w:b/>
          <w:sz w:val="22"/>
          <w:szCs w:val="22"/>
        </w:rPr>
      </w:pPr>
      <w:bookmarkStart w:id="0" w:name="_GoBack"/>
      <w:bookmarkEnd w:id="0"/>
      <w:r w:rsidRPr="007C055A">
        <w:rPr>
          <w:rFonts w:ascii="Cambria" w:hAnsi="Cambria"/>
          <w:b/>
          <w:sz w:val="22"/>
          <w:szCs w:val="22"/>
        </w:rPr>
        <w:t>Presidential Faculty/Student Collaboration and Publication Grant</w:t>
      </w:r>
    </w:p>
    <w:p w:rsidR="00290BAC" w:rsidRPr="007C055A" w:rsidRDefault="00290BAC" w:rsidP="00290BAC">
      <w:pPr>
        <w:jc w:val="center"/>
        <w:rPr>
          <w:rFonts w:ascii="Cambria" w:hAnsi="Cambria"/>
          <w:b/>
          <w:sz w:val="22"/>
          <w:szCs w:val="22"/>
        </w:rPr>
      </w:pPr>
      <w:r w:rsidRPr="007C055A">
        <w:rPr>
          <w:rFonts w:ascii="Cambria" w:hAnsi="Cambria"/>
          <w:b/>
          <w:sz w:val="22"/>
          <w:szCs w:val="22"/>
        </w:rPr>
        <w:t>Deadline Monday, February 24</w:t>
      </w:r>
      <w:r w:rsidRPr="007C055A">
        <w:rPr>
          <w:rFonts w:ascii="Cambria" w:hAnsi="Cambria"/>
          <w:b/>
          <w:sz w:val="22"/>
          <w:szCs w:val="22"/>
          <w:vertAlign w:val="superscript"/>
        </w:rPr>
        <w:t>th</w:t>
      </w:r>
      <w:r w:rsidRPr="007C055A">
        <w:rPr>
          <w:rFonts w:ascii="Cambria" w:hAnsi="Cambria"/>
          <w:b/>
          <w:sz w:val="22"/>
          <w:szCs w:val="22"/>
        </w:rPr>
        <w:t xml:space="preserve"> </w:t>
      </w:r>
    </w:p>
    <w:p w:rsidR="00290BAC" w:rsidRPr="007C055A" w:rsidRDefault="00290BAC" w:rsidP="00290BAC">
      <w:pPr>
        <w:jc w:val="center"/>
        <w:rPr>
          <w:rFonts w:ascii="Cambria" w:hAnsi="Cambria"/>
          <w:b/>
          <w:sz w:val="22"/>
          <w:szCs w:val="22"/>
        </w:rPr>
      </w:pPr>
    </w:p>
    <w:p w:rsidR="00290BAC" w:rsidRPr="007C055A" w:rsidRDefault="00290BAC" w:rsidP="00290BAC">
      <w:pPr>
        <w:rPr>
          <w:rFonts w:ascii="Cambria" w:hAnsi="Cambria"/>
          <w:sz w:val="22"/>
          <w:szCs w:val="22"/>
        </w:rPr>
      </w:pPr>
      <w:r w:rsidRPr="007C055A">
        <w:rPr>
          <w:rFonts w:ascii="Cambria" w:hAnsi="Cambria"/>
          <w:sz w:val="22"/>
          <w:szCs w:val="22"/>
        </w:rPr>
        <w:t xml:space="preserve">Please use this checklist and budget. Include with your completed application. For more information about Presidential Faculty/Student Collaboration and Publication grants, please see </w:t>
      </w:r>
      <w:r w:rsidRPr="007C055A">
        <w:rPr>
          <w:rFonts w:ascii="Cambria" w:hAnsi="Cambria"/>
          <w:sz w:val="22"/>
          <w:szCs w:val="22"/>
        </w:rPr>
        <w:fldChar w:fldCharType="begin"/>
      </w:r>
      <w:r w:rsidRPr="007C055A">
        <w:rPr>
          <w:rFonts w:ascii="Cambria" w:hAnsi="Cambria"/>
          <w:sz w:val="22"/>
          <w:szCs w:val="22"/>
        </w:rPr>
        <w:instrText xml:space="preserve"> HYPERLINK "https://gustavus.edu/kendallcenter/grant-opportunities/presidential-grant.php.</w:instrText>
      </w:r>
    </w:p>
    <w:p w:rsidR="00290BAC" w:rsidRPr="007C055A" w:rsidRDefault="00290BAC" w:rsidP="00290BAC">
      <w:pPr>
        <w:rPr>
          <w:rStyle w:val="Hyperlink"/>
          <w:rFonts w:ascii="Cambria" w:hAnsi="Cambria"/>
          <w:sz w:val="22"/>
          <w:szCs w:val="22"/>
        </w:rPr>
      </w:pPr>
      <w:r w:rsidRPr="007C055A">
        <w:rPr>
          <w:rFonts w:ascii="Cambria" w:hAnsi="Cambria"/>
          <w:sz w:val="22"/>
          <w:szCs w:val="22"/>
        </w:rPr>
        <w:instrText xml:space="preserve">" </w:instrText>
      </w:r>
      <w:r w:rsidRPr="007C055A">
        <w:rPr>
          <w:rFonts w:ascii="Cambria" w:hAnsi="Cambria"/>
          <w:sz w:val="22"/>
          <w:szCs w:val="22"/>
        </w:rPr>
        <w:fldChar w:fldCharType="separate"/>
      </w:r>
      <w:r w:rsidRPr="007C055A">
        <w:rPr>
          <w:rStyle w:val="Hyperlink"/>
          <w:rFonts w:ascii="Cambria" w:hAnsi="Cambria"/>
          <w:sz w:val="22"/>
          <w:szCs w:val="22"/>
        </w:rPr>
        <w:t>https://gustavus.edu/kendallcenter/grant-opportunities/presidential-grant.php.</w:t>
      </w:r>
    </w:p>
    <w:p w:rsidR="00290BAC" w:rsidRPr="007C055A" w:rsidRDefault="00290BAC" w:rsidP="00290BAC">
      <w:pPr>
        <w:rPr>
          <w:rFonts w:ascii="Cambria" w:hAnsi="Cambria"/>
          <w:sz w:val="22"/>
          <w:szCs w:val="22"/>
        </w:rPr>
      </w:pPr>
      <w:r w:rsidRPr="007C055A">
        <w:rPr>
          <w:rFonts w:ascii="Cambria" w:hAnsi="Cambria"/>
          <w:sz w:val="22"/>
          <w:szCs w:val="22"/>
        </w:rPr>
        <w:fldChar w:fldCharType="end"/>
      </w:r>
    </w:p>
    <w:p w:rsidR="00290BAC" w:rsidRPr="007C055A" w:rsidRDefault="00290BAC" w:rsidP="00290BAC">
      <w:pPr>
        <w:rPr>
          <w:rFonts w:ascii="Cambria" w:hAnsi="Cambria"/>
          <w:b/>
          <w:smallCaps/>
          <w:sz w:val="22"/>
          <w:szCs w:val="22"/>
        </w:rPr>
      </w:pPr>
      <w:r w:rsidRPr="007C055A">
        <w:rPr>
          <w:rFonts w:ascii="Cambria" w:hAnsi="Cambria"/>
          <w:b/>
          <w:smallCaps/>
          <w:sz w:val="22"/>
          <w:szCs w:val="22"/>
        </w:rPr>
        <w:t>Faculty Information</w:t>
      </w:r>
    </w:p>
    <w:p w:rsidR="00290BAC" w:rsidRPr="007C055A" w:rsidRDefault="00290BAC" w:rsidP="00290BAC">
      <w:pPr>
        <w:rPr>
          <w:rFonts w:ascii="Cambria" w:hAnsi="Cambria"/>
          <w:sz w:val="22"/>
          <w:szCs w:val="22"/>
        </w:rPr>
      </w:pPr>
      <w:r w:rsidRPr="007C055A">
        <w:rPr>
          <w:rFonts w:ascii="Cambria" w:hAnsi="Cambria"/>
          <w:sz w:val="22"/>
          <w:szCs w:val="22"/>
        </w:rPr>
        <w:t>Name:</w:t>
      </w:r>
      <w:r>
        <w:rPr>
          <w:rFonts w:ascii="Cambria" w:hAnsi="Cambria"/>
          <w:sz w:val="22"/>
          <w:szCs w:val="22"/>
        </w:rPr>
        <w:t xml:space="preserve"> Leila Brammer</w:t>
      </w:r>
    </w:p>
    <w:p w:rsidR="00290BAC" w:rsidRPr="007C055A" w:rsidRDefault="00290BAC" w:rsidP="00290BAC">
      <w:pPr>
        <w:rPr>
          <w:rFonts w:ascii="Cambria" w:hAnsi="Cambria"/>
          <w:sz w:val="22"/>
          <w:szCs w:val="22"/>
        </w:rPr>
      </w:pPr>
      <w:r w:rsidRPr="007C055A">
        <w:rPr>
          <w:rFonts w:ascii="Cambria" w:hAnsi="Cambria"/>
          <w:sz w:val="22"/>
          <w:szCs w:val="22"/>
        </w:rPr>
        <w:t>Department:</w:t>
      </w:r>
      <w:r>
        <w:rPr>
          <w:rFonts w:ascii="Cambria" w:hAnsi="Cambria"/>
          <w:sz w:val="22"/>
          <w:szCs w:val="22"/>
        </w:rPr>
        <w:t xml:space="preserve"> Communication Studies</w:t>
      </w:r>
    </w:p>
    <w:p w:rsidR="00290BAC" w:rsidRPr="007C055A" w:rsidRDefault="00290BAC" w:rsidP="00290BAC">
      <w:pPr>
        <w:rPr>
          <w:rFonts w:ascii="Cambria" w:hAnsi="Cambria"/>
          <w:sz w:val="22"/>
          <w:szCs w:val="22"/>
        </w:rPr>
      </w:pPr>
      <w:r w:rsidRPr="007C055A">
        <w:rPr>
          <w:rFonts w:ascii="Cambria" w:hAnsi="Cambria"/>
          <w:sz w:val="22"/>
          <w:szCs w:val="22"/>
        </w:rPr>
        <w:t>Email:</w:t>
      </w:r>
      <w:r>
        <w:rPr>
          <w:rFonts w:ascii="Cambria" w:hAnsi="Cambria"/>
          <w:sz w:val="22"/>
          <w:szCs w:val="22"/>
        </w:rPr>
        <w:t xml:space="preserve"> Lbrammer@gustavus.edu</w:t>
      </w:r>
    </w:p>
    <w:p w:rsidR="00290BAC" w:rsidRPr="007C055A" w:rsidRDefault="00290BAC" w:rsidP="00290BAC">
      <w:pPr>
        <w:rPr>
          <w:rFonts w:ascii="Cambria" w:hAnsi="Cambria"/>
          <w:sz w:val="22"/>
          <w:szCs w:val="22"/>
        </w:rPr>
      </w:pPr>
      <w:r w:rsidRPr="007C055A">
        <w:rPr>
          <w:rFonts w:ascii="Cambria" w:hAnsi="Cambria"/>
          <w:sz w:val="22"/>
          <w:szCs w:val="22"/>
        </w:rPr>
        <w:t>Rank:</w:t>
      </w:r>
      <w:r>
        <w:rPr>
          <w:rFonts w:ascii="Cambria" w:hAnsi="Cambria"/>
          <w:sz w:val="22"/>
          <w:szCs w:val="22"/>
        </w:rPr>
        <w:t xml:space="preserve"> Professor</w:t>
      </w:r>
    </w:p>
    <w:p w:rsidR="004A2F14" w:rsidRPr="007C055A" w:rsidRDefault="004A2F14" w:rsidP="00290BAC">
      <w:pPr>
        <w:rPr>
          <w:rFonts w:ascii="Cambria" w:hAnsi="Cambria"/>
          <w:b/>
          <w:sz w:val="22"/>
          <w:szCs w:val="22"/>
          <w:u w:val="single"/>
        </w:rPr>
      </w:pPr>
    </w:p>
    <w:p w:rsidR="00290BAC" w:rsidRPr="00C46D81" w:rsidRDefault="00290BAC" w:rsidP="00290BAC">
      <w:pPr>
        <w:rPr>
          <w:rFonts w:ascii="Cambria" w:hAnsi="Cambria"/>
          <w:b/>
          <w:smallCaps/>
          <w:sz w:val="22"/>
          <w:szCs w:val="22"/>
        </w:rPr>
      </w:pPr>
      <w:r>
        <w:rPr>
          <w:rFonts w:ascii="Cambria" w:hAnsi="Cambria"/>
          <w:b/>
          <w:smallCaps/>
          <w:sz w:val="22"/>
          <w:szCs w:val="22"/>
        </w:rPr>
        <w:t>Student</w:t>
      </w:r>
      <w:r w:rsidRPr="00C46D81">
        <w:rPr>
          <w:rFonts w:ascii="Cambria" w:hAnsi="Cambria"/>
          <w:b/>
          <w:smallCaps/>
          <w:sz w:val="22"/>
          <w:szCs w:val="22"/>
        </w:rPr>
        <w:t xml:space="preserve"> Information</w:t>
      </w:r>
    </w:p>
    <w:p w:rsidR="00290BAC" w:rsidRDefault="00290BAC" w:rsidP="00290BAC">
      <w:pPr>
        <w:rPr>
          <w:rFonts w:ascii="Cambria" w:hAnsi="Cambria"/>
          <w:sz w:val="22"/>
          <w:szCs w:val="22"/>
        </w:rPr>
      </w:pPr>
      <w:r w:rsidRPr="00C46D81">
        <w:rPr>
          <w:rFonts w:ascii="Cambria" w:hAnsi="Cambria"/>
          <w:sz w:val="22"/>
          <w:szCs w:val="22"/>
        </w:rPr>
        <w:t>Name:</w:t>
      </w:r>
      <w:r>
        <w:rPr>
          <w:rFonts w:ascii="Cambria" w:hAnsi="Cambria"/>
          <w:sz w:val="22"/>
          <w:szCs w:val="22"/>
        </w:rPr>
        <w:t xml:space="preserve"> Mariah Wika</w:t>
      </w:r>
    </w:p>
    <w:p w:rsidR="00290BAC" w:rsidRPr="00C46D81" w:rsidRDefault="00290BAC" w:rsidP="00290BAC">
      <w:pPr>
        <w:rPr>
          <w:rFonts w:ascii="Cambria" w:hAnsi="Cambria"/>
          <w:sz w:val="22"/>
          <w:szCs w:val="22"/>
        </w:rPr>
      </w:pPr>
      <w:r>
        <w:rPr>
          <w:rFonts w:ascii="Cambria" w:hAnsi="Cambria"/>
          <w:sz w:val="22"/>
          <w:szCs w:val="22"/>
        </w:rPr>
        <w:t>Major(s)</w:t>
      </w:r>
      <w:r w:rsidRPr="00C46D81">
        <w:rPr>
          <w:rFonts w:ascii="Cambria" w:hAnsi="Cambria"/>
          <w:sz w:val="22"/>
          <w:szCs w:val="22"/>
        </w:rPr>
        <w:t>:</w:t>
      </w:r>
      <w:r>
        <w:rPr>
          <w:rFonts w:ascii="Cambria" w:hAnsi="Cambria"/>
          <w:sz w:val="22"/>
          <w:szCs w:val="22"/>
        </w:rPr>
        <w:t xml:space="preserve"> Communication Studies</w:t>
      </w:r>
    </w:p>
    <w:p w:rsidR="00290BAC" w:rsidRDefault="00290BAC" w:rsidP="00290BAC">
      <w:pPr>
        <w:rPr>
          <w:rFonts w:ascii="Cambria" w:hAnsi="Cambria"/>
          <w:sz w:val="22"/>
          <w:szCs w:val="22"/>
        </w:rPr>
      </w:pPr>
      <w:r w:rsidRPr="00C46D81">
        <w:rPr>
          <w:rFonts w:ascii="Cambria" w:hAnsi="Cambria"/>
          <w:sz w:val="22"/>
          <w:szCs w:val="22"/>
        </w:rPr>
        <w:t>Email:</w:t>
      </w:r>
      <w:r>
        <w:rPr>
          <w:rFonts w:ascii="Cambria" w:hAnsi="Cambria"/>
          <w:sz w:val="22"/>
          <w:szCs w:val="22"/>
        </w:rPr>
        <w:t xml:space="preserve"> mwika2@gustavus.edu</w:t>
      </w:r>
    </w:p>
    <w:p w:rsidR="004A2F14" w:rsidRDefault="00290BAC" w:rsidP="00290BAC">
      <w:r>
        <w:rPr>
          <w:rFonts w:ascii="Cambria" w:hAnsi="Cambria"/>
          <w:sz w:val="22"/>
          <w:szCs w:val="22"/>
        </w:rPr>
        <w:t>Graduation Year</w:t>
      </w:r>
      <w:r w:rsidRPr="00C46D81">
        <w:rPr>
          <w:rFonts w:ascii="Cambria" w:hAnsi="Cambria"/>
          <w:sz w:val="22"/>
          <w:szCs w:val="22"/>
        </w:rPr>
        <w:t>:</w:t>
      </w:r>
      <w:r>
        <w:rPr>
          <w:rFonts w:ascii="Cambria" w:hAnsi="Cambria"/>
          <w:sz w:val="22"/>
          <w:szCs w:val="22"/>
        </w:rPr>
        <w:t xml:space="preserve"> 2015</w:t>
      </w:r>
    </w:p>
    <w:p w:rsidR="004A2F14" w:rsidRDefault="004A2F14" w:rsidP="00290BAC"/>
    <w:p w:rsidR="00290BAC" w:rsidRDefault="00290BAC" w:rsidP="00290BAC">
      <w:pPr>
        <w:rPr>
          <w:rFonts w:ascii="Cambria" w:hAnsi="Cambria"/>
          <w:b/>
          <w:smallCaps/>
          <w:sz w:val="22"/>
          <w:szCs w:val="22"/>
        </w:rPr>
      </w:pPr>
      <w:r w:rsidRPr="007C055A">
        <w:rPr>
          <w:rFonts w:ascii="Cambria" w:hAnsi="Cambria"/>
          <w:b/>
          <w:smallCaps/>
          <w:sz w:val="22"/>
          <w:szCs w:val="22"/>
        </w:rPr>
        <w:t>Checklist</w:t>
      </w:r>
    </w:p>
    <w:p w:rsidR="004A2F14" w:rsidRPr="007C055A" w:rsidRDefault="004A2F14" w:rsidP="00290BAC">
      <w:pPr>
        <w:rPr>
          <w:rFonts w:ascii="Cambria" w:hAnsi="Cambria"/>
          <w:b/>
          <w:smallCaps/>
          <w:sz w:val="22"/>
          <w:szCs w:val="22"/>
        </w:rPr>
      </w:pPr>
    </w:p>
    <w:p w:rsidR="00290BAC" w:rsidRPr="007C055A" w:rsidRDefault="00290BAC" w:rsidP="00290BAC">
      <w:pPr>
        <w:rPr>
          <w:rFonts w:ascii="Cambria" w:hAnsi="Cambria"/>
          <w:b/>
          <w:sz w:val="22"/>
          <w:szCs w:val="22"/>
        </w:rPr>
      </w:pPr>
      <w:r w:rsidRPr="007C055A">
        <w:rPr>
          <w:rFonts w:ascii="Cambria" w:hAnsi="Cambria"/>
          <w:b/>
          <w:sz w:val="22"/>
          <w:szCs w:val="22"/>
        </w:rPr>
        <w:t>Project Details</w:t>
      </w:r>
    </w:p>
    <w:p w:rsidR="00290BAC" w:rsidRPr="007C055A" w:rsidRDefault="00290BAC" w:rsidP="00290BAC">
      <w:pPr>
        <w:rPr>
          <w:rFonts w:ascii="Cambria" w:hAnsi="Cambria"/>
          <w:b/>
          <w:sz w:val="22"/>
          <w:szCs w:val="22"/>
        </w:rPr>
      </w:pPr>
      <w:r w:rsidRPr="00B611DF">
        <w:rPr>
          <w:rFonts w:ascii="MS Gothic" w:eastAsia="MS Gothic" w:hAnsi="MS Gothic"/>
          <w:color w:val="000000"/>
        </w:rPr>
        <w:t>☐</w:t>
      </w:r>
      <w:r>
        <w:rPr>
          <w:rFonts w:ascii="MS Gothic" w:eastAsia="MS Gothic" w:hAnsi="MS Gothic"/>
          <w:color w:val="000000"/>
        </w:rPr>
        <w:t>x</w:t>
      </w:r>
      <w:r>
        <w:rPr>
          <w:rFonts w:ascii="MS Gothic" w:eastAsia="MS Gothic" w:hAnsi="MS Gothic"/>
          <w:color w:val="000000"/>
        </w:rPr>
        <w:tab/>
      </w:r>
      <w:r w:rsidRPr="007C055A">
        <w:rPr>
          <w:rFonts w:ascii="Cambria" w:hAnsi="Cambria"/>
          <w:sz w:val="22"/>
          <w:szCs w:val="22"/>
        </w:rPr>
        <w:t>Brief description of the proposed project including its collaborative nature</w:t>
      </w:r>
    </w:p>
    <w:p w:rsidR="00290BAC" w:rsidRPr="007C055A" w:rsidRDefault="00290BAC" w:rsidP="00290BAC">
      <w:pPr>
        <w:tabs>
          <w:tab w:val="left" w:pos="360"/>
        </w:tabs>
        <w:rPr>
          <w:rFonts w:ascii="Cambria" w:hAnsi="Cambria"/>
          <w:sz w:val="22"/>
          <w:szCs w:val="22"/>
        </w:rPr>
      </w:pPr>
      <w:r w:rsidRPr="00B611DF">
        <w:rPr>
          <w:rFonts w:ascii="MS Gothic" w:eastAsia="MS Gothic" w:hAnsi="MS Gothic"/>
          <w:color w:val="000000"/>
        </w:rPr>
        <w:t>☐</w:t>
      </w:r>
      <w:r>
        <w:rPr>
          <w:rFonts w:ascii="MS Gothic" w:eastAsia="MS Gothic" w:hAnsi="MS Gothic"/>
          <w:color w:val="000000"/>
        </w:rPr>
        <w:t>x</w:t>
      </w:r>
      <w:r>
        <w:rPr>
          <w:rFonts w:ascii="MS Gothic" w:eastAsia="MS Gothic" w:hAnsi="MS Gothic"/>
          <w:color w:val="000000"/>
        </w:rPr>
        <w:tab/>
      </w:r>
      <w:r w:rsidRPr="007C055A">
        <w:rPr>
          <w:rFonts w:ascii="Cambria" w:hAnsi="Cambria"/>
          <w:sz w:val="22"/>
          <w:szCs w:val="22"/>
        </w:rPr>
        <w:t>Clear statement of anticipated outcomes</w:t>
      </w:r>
    </w:p>
    <w:p w:rsidR="00290BAC" w:rsidRPr="007C055A" w:rsidRDefault="00290BAC" w:rsidP="00290BAC">
      <w:pPr>
        <w:tabs>
          <w:tab w:val="left" w:pos="360"/>
        </w:tabs>
        <w:rPr>
          <w:rFonts w:ascii="Cambria" w:hAnsi="Cambria"/>
          <w:sz w:val="22"/>
          <w:szCs w:val="22"/>
        </w:rPr>
      </w:pPr>
      <w:r w:rsidRPr="00B611DF">
        <w:rPr>
          <w:rFonts w:ascii="MS Gothic" w:eastAsia="MS Gothic" w:hAnsi="MS Gothic"/>
          <w:color w:val="000000"/>
        </w:rPr>
        <w:t>☐</w:t>
      </w:r>
      <w:r>
        <w:rPr>
          <w:rFonts w:ascii="MS Gothic" w:eastAsia="MS Gothic" w:hAnsi="MS Gothic"/>
          <w:color w:val="000000"/>
        </w:rPr>
        <w:t>x</w:t>
      </w:r>
      <w:r>
        <w:rPr>
          <w:rFonts w:ascii="MS Gothic" w:eastAsia="MS Gothic" w:hAnsi="MS Gothic"/>
          <w:color w:val="000000"/>
        </w:rPr>
        <w:tab/>
      </w:r>
      <w:r w:rsidRPr="007C055A">
        <w:rPr>
          <w:rFonts w:ascii="Cambria" w:hAnsi="Cambria"/>
          <w:sz w:val="22"/>
          <w:szCs w:val="22"/>
        </w:rPr>
        <w:t>Likely placement for publication or performances</w:t>
      </w:r>
    </w:p>
    <w:p w:rsidR="00290BAC" w:rsidRPr="007C055A" w:rsidRDefault="00290BAC" w:rsidP="00290BAC">
      <w:pPr>
        <w:tabs>
          <w:tab w:val="left" w:pos="360"/>
        </w:tabs>
        <w:rPr>
          <w:rFonts w:ascii="Cambria" w:hAnsi="Cambria"/>
          <w:sz w:val="22"/>
          <w:szCs w:val="22"/>
        </w:rPr>
      </w:pPr>
      <w:r w:rsidRPr="00B611DF">
        <w:rPr>
          <w:rFonts w:ascii="MS Gothic" w:eastAsia="MS Gothic" w:hAnsi="MS Gothic"/>
          <w:color w:val="000000"/>
        </w:rPr>
        <w:t>☐</w:t>
      </w:r>
      <w:r>
        <w:rPr>
          <w:rFonts w:ascii="MS Gothic" w:eastAsia="MS Gothic" w:hAnsi="MS Gothic"/>
          <w:color w:val="000000"/>
        </w:rPr>
        <w:t>x</w:t>
      </w:r>
      <w:r>
        <w:rPr>
          <w:rFonts w:ascii="MS Gothic" w:eastAsia="MS Gothic" w:hAnsi="MS Gothic"/>
          <w:color w:val="000000"/>
        </w:rPr>
        <w:tab/>
      </w:r>
      <w:r w:rsidRPr="007C055A">
        <w:rPr>
          <w:rFonts w:ascii="Cambria" w:hAnsi="Cambria"/>
          <w:sz w:val="22"/>
          <w:szCs w:val="22"/>
        </w:rPr>
        <w:t>Anticipated research completion date</w:t>
      </w:r>
    </w:p>
    <w:p w:rsidR="00290BAC" w:rsidRPr="007C055A" w:rsidRDefault="00290BAC" w:rsidP="00290BAC">
      <w:pPr>
        <w:rPr>
          <w:rFonts w:ascii="Cambria" w:hAnsi="Cambria"/>
          <w:b/>
          <w:sz w:val="22"/>
          <w:szCs w:val="22"/>
        </w:rPr>
      </w:pPr>
    </w:p>
    <w:p w:rsidR="00290BAC" w:rsidRPr="007C055A" w:rsidRDefault="00290BAC" w:rsidP="00290BAC">
      <w:pPr>
        <w:rPr>
          <w:rFonts w:ascii="Cambria" w:hAnsi="Cambria"/>
          <w:b/>
          <w:sz w:val="22"/>
          <w:szCs w:val="22"/>
        </w:rPr>
      </w:pPr>
      <w:r w:rsidRPr="007C055A">
        <w:rPr>
          <w:rFonts w:ascii="Cambria" w:hAnsi="Cambria"/>
          <w:b/>
          <w:sz w:val="22"/>
          <w:szCs w:val="22"/>
        </w:rPr>
        <w:t>Participant Details</w:t>
      </w:r>
    </w:p>
    <w:p w:rsidR="00290BAC" w:rsidRPr="007C055A" w:rsidRDefault="00290BAC" w:rsidP="00290BAC">
      <w:pPr>
        <w:tabs>
          <w:tab w:val="left" w:pos="360"/>
        </w:tabs>
        <w:rPr>
          <w:rFonts w:ascii="Cambria" w:hAnsi="Cambria"/>
          <w:sz w:val="22"/>
          <w:szCs w:val="22"/>
        </w:rPr>
      </w:pPr>
      <w:r w:rsidRPr="00B611DF">
        <w:rPr>
          <w:rFonts w:ascii="MS Gothic" w:eastAsia="MS Gothic" w:hAnsi="MS Gothic"/>
          <w:color w:val="000000"/>
        </w:rPr>
        <w:t>☐</w:t>
      </w:r>
      <w:r>
        <w:rPr>
          <w:rFonts w:ascii="MS Gothic" w:eastAsia="MS Gothic" w:hAnsi="MS Gothic"/>
          <w:color w:val="000000"/>
        </w:rPr>
        <w:t>x</w:t>
      </w:r>
      <w:r>
        <w:rPr>
          <w:rFonts w:ascii="MS Gothic" w:eastAsia="MS Gothic" w:hAnsi="MS Gothic"/>
          <w:color w:val="000000"/>
        </w:rPr>
        <w:tab/>
      </w:r>
      <w:r w:rsidRPr="007C055A">
        <w:rPr>
          <w:rFonts w:ascii="Cambria" w:hAnsi="Cambria"/>
          <w:sz w:val="22"/>
          <w:szCs w:val="22"/>
        </w:rPr>
        <w:t>Names and brief biographies of all participants</w:t>
      </w:r>
    </w:p>
    <w:p w:rsidR="00290BAC" w:rsidRPr="007C055A" w:rsidRDefault="00290BAC" w:rsidP="00290BAC">
      <w:pPr>
        <w:tabs>
          <w:tab w:val="left" w:pos="360"/>
        </w:tabs>
        <w:rPr>
          <w:rFonts w:ascii="Cambria" w:hAnsi="Cambria"/>
          <w:sz w:val="22"/>
          <w:szCs w:val="22"/>
        </w:rPr>
      </w:pPr>
      <w:r w:rsidRPr="00B611DF">
        <w:rPr>
          <w:rFonts w:ascii="MS Gothic" w:eastAsia="MS Gothic" w:hAnsi="MS Gothic"/>
          <w:color w:val="000000"/>
        </w:rPr>
        <w:t>☐</w:t>
      </w:r>
      <w:r>
        <w:rPr>
          <w:rFonts w:ascii="MS Gothic" w:eastAsia="MS Gothic" w:hAnsi="MS Gothic"/>
          <w:color w:val="000000"/>
        </w:rPr>
        <w:t>x</w:t>
      </w:r>
      <w:r>
        <w:rPr>
          <w:rFonts w:ascii="MS Gothic" w:eastAsia="MS Gothic" w:hAnsi="MS Gothic"/>
          <w:color w:val="000000"/>
        </w:rPr>
        <w:tab/>
      </w:r>
      <w:r w:rsidRPr="007C055A">
        <w:rPr>
          <w:rFonts w:ascii="Cambria" w:hAnsi="Cambria"/>
          <w:sz w:val="22"/>
          <w:szCs w:val="22"/>
        </w:rPr>
        <w:t>Explanation of how this project fits into the career of the faculty member</w:t>
      </w:r>
      <w:r w:rsidRPr="007C055A">
        <w:rPr>
          <w:rFonts w:ascii="Cambria" w:hAnsi="Cambria"/>
          <w:sz w:val="22"/>
          <w:szCs w:val="22"/>
        </w:rPr>
        <w:br/>
      </w:r>
      <w:r w:rsidRPr="007C055A">
        <w:rPr>
          <w:rFonts w:ascii="Cambria" w:hAnsi="Cambria"/>
          <w:sz w:val="22"/>
          <w:szCs w:val="22"/>
        </w:rPr>
        <w:tab/>
      </w:r>
      <w:r w:rsidRPr="007C055A">
        <w:rPr>
          <w:rFonts w:ascii="Cambria" w:hAnsi="Cambria"/>
          <w:sz w:val="22"/>
          <w:szCs w:val="22"/>
        </w:rPr>
        <w:tab/>
      </w:r>
      <w:r w:rsidRPr="007C055A">
        <w:rPr>
          <w:rFonts w:ascii="Cambria" w:hAnsi="Cambria"/>
          <w:b/>
          <w:i/>
          <w:sz w:val="22"/>
          <w:szCs w:val="22"/>
        </w:rPr>
        <w:t xml:space="preserve">Note: </w:t>
      </w:r>
      <w:r w:rsidRPr="007C055A">
        <w:rPr>
          <w:rFonts w:ascii="Cambria" w:hAnsi="Cambria"/>
          <w:sz w:val="22"/>
          <w:szCs w:val="22"/>
        </w:rPr>
        <w:t>Applications from faculty at all career stages are encouraged</w:t>
      </w:r>
    </w:p>
    <w:p w:rsidR="00290BAC" w:rsidRPr="007C055A" w:rsidRDefault="00290BAC" w:rsidP="00290BAC">
      <w:pPr>
        <w:tabs>
          <w:tab w:val="left" w:pos="360"/>
        </w:tabs>
        <w:rPr>
          <w:rFonts w:ascii="Cambria" w:hAnsi="Cambria"/>
          <w:sz w:val="22"/>
          <w:szCs w:val="22"/>
        </w:rPr>
      </w:pPr>
      <w:r w:rsidRPr="00B611DF">
        <w:rPr>
          <w:rFonts w:ascii="MS Gothic" w:eastAsia="MS Gothic" w:hAnsi="MS Gothic"/>
          <w:color w:val="000000"/>
        </w:rPr>
        <w:t>☐</w:t>
      </w:r>
      <w:r>
        <w:rPr>
          <w:rFonts w:ascii="MS Gothic" w:eastAsia="MS Gothic" w:hAnsi="MS Gothic"/>
          <w:color w:val="000000"/>
        </w:rPr>
        <w:t>x</w:t>
      </w:r>
      <w:r>
        <w:rPr>
          <w:rFonts w:ascii="MS Gothic" w:eastAsia="MS Gothic" w:hAnsi="MS Gothic"/>
          <w:color w:val="000000"/>
        </w:rPr>
        <w:tab/>
      </w:r>
      <w:r w:rsidRPr="007C055A">
        <w:rPr>
          <w:rFonts w:ascii="Cambria" w:hAnsi="Cambria"/>
          <w:sz w:val="22"/>
          <w:szCs w:val="22"/>
        </w:rPr>
        <w:t>Explanation of how this project fits into the educational trajectory of the student</w:t>
      </w:r>
    </w:p>
    <w:p w:rsidR="00290BAC" w:rsidRPr="007C055A" w:rsidRDefault="00290BAC" w:rsidP="00290BAC">
      <w:pPr>
        <w:ind w:left="720" w:hanging="720"/>
        <w:rPr>
          <w:rFonts w:ascii="Cambria" w:hAnsi="Cambria"/>
          <w:sz w:val="22"/>
          <w:szCs w:val="22"/>
        </w:rPr>
      </w:pPr>
      <w:r w:rsidRPr="007C055A">
        <w:rPr>
          <w:rFonts w:ascii="Cambria" w:hAnsi="Cambria"/>
          <w:sz w:val="22"/>
          <w:szCs w:val="22"/>
        </w:rPr>
        <w:tab/>
      </w:r>
      <w:r w:rsidRPr="007C055A">
        <w:rPr>
          <w:rFonts w:ascii="Cambria" w:hAnsi="Cambria"/>
          <w:b/>
          <w:i/>
          <w:sz w:val="22"/>
          <w:szCs w:val="22"/>
        </w:rPr>
        <w:t>Note:</w:t>
      </w:r>
      <w:r w:rsidRPr="007C055A">
        <w:rPr>
          <w:rFonts w:ascii="Cambria" w:hAnsi="Cambria"/>
          <w:sz w:val="22"/>
          <w:szCs w:val="22"/>
        </w:rPr>
        <w:t xml:space="preserve"> Statement should be written by the student; include year of graduation; student eligibility is limited to full-time returning students</w:t>
      </w:r>
    </w:p>
    <w:p w:rsidR="00290BAC" w:rsidRDefault="00290BAC" w:rsidP="00290BAC">
      <w:pPr>
        <w:rPr>
          <w:b/>
          <w:sz w:val="22"/>
          <w:szCs w:val="22"/>
        </w:rPr>
      </w:pPr>
    </w:p>
    <w:p w:rsidR="00290BAC" w:rsidRPr="007C055A" w:rsidRDefault="00290BAC" w:rsidP="00290BAC">
      <w:pPr>
        <w:rPr>
          <w:rFonts w:ascii="Cambria" w:hAnsi="Cambria"/>
          <w:b/>
          <w:sz w:val="22"/>
          <w:szCs w:val="22"/>
        </w:rPr>
      </w:pPr>
      <w:r w:rsidRPr="00B611DF">
        <w:rPr>
          <w:rFonts w:ascii="MS Gothic" w:eastAsia="MS Gothic" w:hAnsi="MS Gothic"/>
          <w:color w:val="000000"/>
        </w:rPr>
        <w:t>☐</w:t>
      </w:r>
      <w:r>
        <w:rPr>
          <w:rFonts w:ascii="MS Gothic" w:eastAsia="MS Gothic" w:hAnsi="MS Gothic"/>
          <w:color w:val="000000"/>
        </w:rPr>
        <w:t>x</w:t>
      </w:r>
      <w:r>
        <w:rPr>
          <w:rFonts w:ascii="MS Gothic" w:eastAsia="MS Gothic" w:hAnsi="MS Gothic"/>
          <w:color w:val="000000"/>
        </w:rPr>
        <w:tab/>
      </w:r>
      <w:r w:rsidRPr="007C055A">
        <w:rPr>
          <w:rFonts w:ascii="Cambria" w:hAnsi="Cambria"/>
          <w:b/>
          <w:sz w:val="22"/>
          <w:szCs w:val="22"/>
        </w:rPr>
        <w:t xml:space="preserve">Presidential Budget Proposal Form </w:t>
      </w:r>
    </w:p>
    <w:p w:rsidR="00290BAC" w:rsidRDefault="00290BAC" w:rsidP="00290BAC">
      <w:pPr>
        <w:ind w:left="360" w:hanging="360"/>
        <w:rPr>
          <w:b/>
          <w:sz w:val="22"/>
          <w:szCs w:val="22"/>
        </w:rPr>
      </w:pPr>
    </w:p>
    <w:p w:rsidR="00290BAC" w:rsidRPr="007C055A" w:rsidRDefault="00290BAC" w:rsidP="00290BAC">
      <w:pPr>
        <w:ind w:left="720" w:hanging="720"/>
        <w:rPr>
          <w:rFonts w:ascii="Cambria" w:hAnsi="Cambria"/>
          <w:b/>
          <w:sz w:val="22"/>
          <w:szCs w:val="22"/>
        </w:rPr>
      </w:pPr>
      <w:r w:rsidRPr="00B611DF">
        <w:rPr>
          <w:rFonts w:ascii="MS Gothic" w:eastAsia="MS Gothic" w:hAnsi="MS Gothic"/>
          <w:color w:val="000000"/>
        </w:rPr>
        <w:t>☐</w:t>
      </w:r>
      <w:r>
        <w:rPr>
          <w:rFonts w:ascii="MS Gothic" w:eastAsia="MS Gothic" w:hAnsi="MS Gothic"/>
          <w:color w:val="000000"/>
        </w:rPr>
        <w:t>x</w:t>
      </w:r>
      <w:r>
        <w:rPr>
          <w:rFonts w:ascii="MS Gothic" w:eastAsia="MS Gothic" w:hAnsi="MS Gothic"/>
          <w:color w:val="000000"/>
        </w:rPr>
        <w:tab/>
      </w:r>
      <w:r w:rsidRPr="007C055A">
        <w:rPr>
          <w:rFonts w:ascii="Cambria" w:hAnsi="Cambria"/>
          <w:sz w:val="22"/>
          <w:szCs w:val="22"/>
        </w:rPr>
        <w:t>If successful, my proposal can be used as an example to assist future applications. Check to give permission. This decision will not influence the application evaluation.</w:t>
      </w:r>
      <w:r w:rsidRPr="007C055A">
        <w:rPr>
          <w:rFonts w:ascii="Cambria" w:hAnsi="Cambria"/>
          <w:b/>
          <w:sz w:val="22"/>
          <w:szCs w:val="22"/>
        </w:rPr>
        <w:t xml:space="preserve">  </w:t>
      </w:r>
    </w:p>
    <w:p w:rsidR="00290BAC" w:rsidRPr="007C055A" w:rsidRDefault="00290BAC" w:rsidP="00290BAC">
      <w:pPr>
        <w:ind w:left="360" w:hanging="360"/>
        <w:rPr>
          <w:rFonts w:ascii="Cambria" w:hAnsi="Cambria"/>
          <w:sz w:val="22"/>
          <w:szCs w:val="22"/>
        </w:rPr>
      </w:pPr>
    </w:p>
    <w:p w:rsidR="00290BAC" w:rsidRPr="007C055A" w:rsidRDefault="00290BAC" w:rsidP="00290BAC">
      <w:pPr>
        <w:rPr>
          <w:rFonts w:ascii="Cambria" w:hAnsi="Cambria"/>
          <w:b/>
          <w:sz w:val="22"/>
          <w:szCs w:val="22"/>
        </w:rPr>
      </w:pPr>
      <w:r w:rsidRPr="0098060F">
        <w:rPr>
          <w:rFonts w:ascii="Cambria" w:hAnsi="Cambria"/>
          <w:sz w:val="22"/>
          <w:szCs w:val="22"/>
        </w:rPr>
        <w:t xml:space="preserve">Submit electronically as a PDF to </w:t>
      </w:r>
      <w:hyperlink r:id="rId9" w:history="1">
        <w:r w:rsidRPr="006777FF">
          <w:rPr>
            <w:rStyle w:val="Hyperlink"/>
            <w:rFonts w:ascii="Cambria" w:hAnsi="Cambria"/>
            <w:sz w:val="22"/>
            <w:szCs w:val="22"/>
          </w:rPr>
          <w:t>cblaukat@gustavus.edu</w:t>
        </w:r>
      </w:hyperlink>
      <w:r w:rsidRPr="0098060F">
        <w:rPr>
          <w:rFonts w:ascii="Cambria" w:hAnsi="Cambria"/>
          <w:sz w:val="22"/>
          <w:szCs w:val="22"/>
        </w:rPr>
        <w:t xml:space="preserve"> at the John S. Kendall Center for Engaged Learning.</w:t>
      </w:r>
    </w:p>
    <w:p w:rsidR="00300302" w:rsidRPr="00F00BAE" w:rsidRDefault="00300302" w:rsidP="0070706C">
      <w:pPr>
        <w:rPr>
          <w:sz w:val="22"/>
          <w:szCs w:val="22"/>
        </w:rPr>
      </w:pPr>
    </w:p>
    <w:p w:rsidR="00290BAC" w:rsidRDefault="00290BAC">
      <w:pPr>
        <w:rPr>
          <w:sz w:val="22"/>
          <w:szCs w:val="22"/>
        </w:rPr>
      </w:pPr>
      <w:r>
        <w:rPr>
          <w:sz w:val="22"/>
          <w:szCs w:val="22"/>
        </w:rPr>
        <w:br w:type="page"/>
      </w:r>
    </w:p>
    <w:p w:rsidR="00282D9F" w:rsidRPr="00F00BAE" w:rsidRDefault="00282D9F" w:rsidP="00282D9F">
      <w:pPr>
        <w:rPr>
          <w:sz w:val="22"/>
          <w:szCs w:val="22"/>
        </w:rPr>
      </w:pPr>
      <w:r>
        <w:rPr>
          <w:sz w:val="22"/>
          <w:szCs w:val="22"/>
        </w:rPr>
        <w:lastRenderedPageBreak/>
        <w:t>Since the implementation of</w:t>
      </w:r>
      <w:r w:rsidR="00597816" w:rsidRPr="00F00BAE">
        <w:rPr>
          <w:sz w:val="22"/>
          <w:szCs w:val="22"/>
        </w:rPr>
        <w:t xml:space="preserve"> Public Discourse </w:t>
      </w:r>
      <w:r>
        <w:rPr>
          <w:sz w:val="22"/>
          <w:szCs w:val="22"/>
        </w:rPr>
        <w:t xml:space="preserve">in fall 2007, </w:t>
      </w:r>
      <w:r w:rsidR="00EC6E46">
        <w:rPr>
          <w:sz w:val="22"/>
          <w:szCs w:val="22"/>
        </w:rPr>
        <w:t xml:space="preserve">with co-authors and alone, I </w:t>
      </w:r>
      <w:r w:rsidR="005E7818">
        <w:rPr>
          <w:sz w:val="22"/>
          <w:szCs w:val="22"/>
        </w:rPr>
        <w:t>have</w:t>
      </w:r>
      <w:r>
        <w:rPr>
          <w:sz w:val="22"/>
          <w:szCs w:val="22"/>
        </w:rPr>
        <w:t xml:space="preserve"> </w:t>
      </w:r>
      <w:r w:rsidR="0070706C" w:rsidRPr="00F00BAE">
        <w:rPr>
          <w:sz w:val="22"/>
          <w:szCs w:val="22"/>
        </w:rPr>
        <w:t xml:space="preserve">presented and published a </w:t>
      </w:r>
      <w:r>
        <w:rPr>
          <w:sz w:val="22"/>
          <w:szCs w:val="22"/>
        </w:rPr>
        <w:t xml:space="preserve">number of papers </w:t>
      </w:r>
      <w:r w:rsidR="005E7818">
        <w:rPr>
          <w:sz w:val="22"/>
          <w:szCs w:val="22"/>
        </w:rPr>
        <w:t xml:space="preserve">that </w:t>
      </w:r>
      <w:r w:rsidR="005E7818" w:rsidRPr="00EC6E46">
        <w:rPr>
          <w:sz w:val="22"/>
          <w:szCs w:val="22"/>
        </w:rPr>
        <w:t xml:space="preserve">document </w:t>
      </w:r>
      <w:r w:rsidR="0070706C" w:rsidRPr="00EC6E46">
        <w:rPr>
          <w:sz w:val="22"/>
          <w:szCs w:val="22"/>
        </w:rPr>
        <w:t>the</w:t>
      </w:r>
      <w:r w:rsidR="0070706C" w:rsidRPr="00F00BAE">
        <w:rPr>
          <w:sz w:val="22"/>
          <w:szCs w:val="22"/>
        </w:rPr>
        <w:t xml:space="preserve"> effectiveness </w:t>
      </w:r>
      <w:r w:rsidR="00DA23BD" w:rsidRPr="00F00BAE">
        <w:rPr>
          <w:sz w:val="22"/>
          <w:szCs w:val="22"/>
        </w:rPr>
        <w:t>of Public Discourse in providing</w:t>
      </w:r>
      <w:r w:rsidR="0070706C" w:rsidRPr="00F00BAE">
        <w:rPr>
          <w:sz w:val="22"/>
          <w:szCs w:val="22"/>
        </w:rPr>
        <w:t xml:space="preserve"> civic education, argument and critical thinking skills, communication skills, and leadership development. </w:t>
      </w:r>
      <w:r>
        <w:rPr>
          <w:sz w:val="22"/>
          <w:szCs w:val="22"/>
        </w:rPr>
        <w:t xml:space="preserve"> That research has helped position </w:t>
      </w:r>
      <w:r w:rsidRPr="00F00BAE">
        <w:rPr>
          <w:sz w:val="22"/>
          <w:szCs w:val="22"/>
        </w:rPr>
        <w:t xml:space="preserve">Public Discourse </w:t>
      </w:r>
      <w:r>
        <w:rPr>
          <w:sz w:val="22"/>
          <w:szCs w:val="22"/>
        </w:rPr>
        <w:t xml:space="preserve">as a flagship course for the discipline, which has been </w:t>
      </w:r>
      <w:r w:rsidRPr="00F00BAE">
        <w:rPr>
          <w:sz w:val="22"/>
          <w:szCs w:val="22"/>
        </w:rPr>
        <w:t>recognized with two national awards—Rex Mix Department of Excellence Award and the Basic Course Division Program of Distinction Award—given by members of the National Communication Association, our national disciplinary association.</w:t>
      </w:r>
    </w:p>
    <w:p w:rsidR="00282D9F" w:rsidRDefault="00282D9F" w:rsidP="00597816">
      <w:pPr>
        <w:rPr>
          <w:sz w:val="22"/>
          <w:szCs w:val="22"/>
        </w:rPr>
      </w:pPr>
    </w:p>
    <w:p w:rsidR="00597816" w:rsidRPr="00F00BAE" w:rsidRDefault="00597816" w:rsidP="00597816">
      <w:pPr>
        <w:rPr>
          <w:sz w:val="22"/>
          <w:szCs w:val="22"/>
        </w:rPr>
      </w:pPr>
      <w:r w:rsidRPr="00F00BAE">
        <w:rPr>
          <w:sz w:val="22"/>
          <w:szCs w:val="22"/>
        </w:rPr>
        <w:t>In summer 2012, Anna Morton ’13 and I received a Presidential Collaboration Grant to explore t</w:t>
      </w:r>
      <w:r w:rsidR="00501A86" w:rsidRPr="00F00BAE">
        <w:rPr>
          <w:sz w:val="22"/>
          <w:szCs w:val="22"/>
        </w:rPr>
        <w:t>he rich student narratives that</w:t>
      </w:r>
      <w:r w:rsidRPr="00F00BAE">
        <w:rPr>
          <w:sz w:val="22"/>
          <w:szCs w:val="22"/>
        </w:rPr>
        <w:t xml:space="preserve"> emerge from Public Discourse.</w:t>
      </w:r>
      <w:r w:rsidR="00344C87" w:rsidRPr="00F00BAE">
        <w:rPr>
          <w:sz w:val="22"/>
          <w:szCs w:val="22"/>
        </w:rPr>
        <w:t xml:space="preserve"> </w:t>
      </w:r>
      <w:r w:rsidR="00282D9F">
        <w:rPr>
          <w:sz w:val="22"/>
          <w:szCs w:val="22"/>
        </w:rPr>
        <w:t xml:space="preserve"> </w:t>
      </w:r>
      <w:r w:rsidR="00901A15">
        <w:rPr>
          <w:sz w:val="22"/>
          <w:szCs w:val="22"/>
        </w:rPr>
        <w:t>Anna and I</w:t>
      </w:r>
      <w:r w:rsidRPr="00F00BAE">
        <w:rPr>
          <w:sz w:val="22"/>
          <w:szCs w:val="22"/>
        </w:rPr>
        <w:t xml:space="preserve"> presented our work at the International Scholarship of Teaching and Learning </w:t>
      </w:r>
      <w:r w:rsidR="00282D9F">
        <w:rPr>
          <w:sz w:val="22"/>
          <w:szCs w:val="22"/>
        </w:rPr>
        <w:t xml:space="preserve">Symposium </w:t>
      </w:r>
      <w:r w:rsidRPr="00F00BAE">
        <w:rPr>
          <w:sz w:val="22"/>
          <w:szCs w:val="22"/>
        </w:rPr>
        <w:t>and our manuscript—</w:t>
      </w:r>
      <w:r w:rsidRPr="00F00BAE">
        <w:rPr>
          <w:rFonts w:ascii="Arial" w:hAnsi="Arial" w:cs="Arial"/>
          <w:color w:val="000000"/>
          <w:sz w:val="22"/>
          <w:szCs w:val="22"/>
          <w:shd w:val="clear" w:color="auto" w:fill="FFFFFF"/>
        </w:rPr>
        <w:t xml:space="preserve"> </w:t>
      </w:r>
      <w:r w:rsidRPr="00F00BAE">
        <w:rPr>
          <w:color w:val="000000"/>
          <w:sz w:val="22"/>
          <w:szCs w:val="22"/>
          <w:shd w:val="clear" w:color="auto" w:fill="FFFFFF"/>
        </w:rPr>
        <w:t>Course-based Civic Engagement: Understanding Student Perspectives and Outcomes</w:t>
      </w:r>
      <w:r w:rsidRPr="00F00BAE">
        <w:rPr>
          <w:sz w:val="22"/>
          <w:szCs w:val="22"/>
        </w:rPr>
        <w:t xml:space="preserve">—was recently published in the </w:t>
      </w:r>
      <w:r w:rsidRPr="00F00BAE">
        <w:rPr>
          <w:i/>
          <w:sz w:val="22"/>
          <w:szCs w:val="22"/>
        </w:rPr>
        <w:t>International Journal of the Scholarship of Teaching and Learning</w:t>
      </w:r>
      <w:r w:rsidRPr="00F00BAE">
        <w:rPr>
          <w:sz w:val="22"/>
          <w:szCs w:val="22"/>
        </w:rPr>
        <w:t>.  As Anna and I worked on this piece, w</w:t>
      </w:r>
      <w:r w:rsidR="00901A15">
        <w:rPr>
          <w:sz w:val="22"/>
          <w:szCs w:val="22"/>
        </w:rPr>
        <w:t xml:space="preserve">e </w:t>
      </w:r>
      <w:r w:rsidR="00EC6E46">
        <w:rPr>
          <w:sz w:val="22"/>
          <w:szCs w:val="22"/>
        </w:rPr>
        <w:t>speculated about the long-term influences that might be revealed in alumni outcomes and perceptions.</w:t>
      </w:r>
      <w:r w:rsidRPr="00F00BAE">
        <w:rPr>
          <w:sz w:val="22"/>
          <w:szCs w:val="22"/>
        </w:rPr>
        <w:t xml:space="preserve">  </w:t>
      </w:r>
      <w:r w:rsidR="00901A15">
        <w:rPr>
          <w:sz w:val="22"/>
          <w:szCs w:val="22"/>
        </w:rPr>
        <w:t>Alumni voices</w:t>
      </w:r>
      <w:r w:rsidRPr="00F00BAE">
        <w:rPr>
          <w:sz w:val="22"/>
          <w:szCs w:val="22"/>
        </w:rPr>
        <w:t xml:space="preserve"> would</w:t>
      </w:r>
      <w:r w:rsidR="00901A15">
        <w:rPr>
          <w:sz w:val="22"/>
          <w:szCs w:val="22"/>
        </w:rPr>
        <w:t xml:space="preserve"> extend</w:t>
      </w:r>
      <w:r w:rsidRPr="00F00BAE">
        <w:rPr>
          <w:sz w:val="22"/>
          <w:szCs w:val="22"/>
        </w:rPr>
        <w:t xml:space="preserve"> the research and help determine if the transformat</w:t>
      </w:r>
      <w:r w:rsidR="005E4D6E">
        <w:rPr>
          <w:sz w:val="22"/>
          <w:szCs w:val="22"/>
        </w:rPr>
        <w:t>ional changes and passionate testimony</w:t>
      </w:r>
      <w:r w:rsidRPr="00F00BAE">
        <w:rPr>
          <w:sz w:val="22"/>
          <w:szCs w:val="22"/>
        </w:rPr>
        <w:t xml:space="preserve"> of growth </w:t>
      </w:r>
      <w:r w:rsidR="00282D9F">
        <w:rPr>
          <w:sz w:val="22"/>
          <w:szCs w:val="22"/>
        </w:rPr>
        <w:t>continued beyond the semester.  At</w:t>
      </w:r>
      <w:r w:rsidR="00282D9F" w:rsidRPr="00F00BAE">
        <w:rPr>
          <w:sz w:val="22"/>
          <w:szCs w:val="22"/>
        </w:rPr>
        <w:t xml:space="preserve"> the </w:t>
      </w:r>
      <w:r w:rsidR="00282D9F">
        <w:rPr>
          <w:sz w:val="22"/>
          <w:szCs w:val="22"/>
        </w:rPr>
        <w:t>ISOTL</w:t>
      </w:r>
      <w:r w:rsidR="00282D9F" w:rsidRPr="00F00BAE">
        <w:rPr>
          <w:sz w:val="22"/>
          <w:szCs w:val="22"/>
        </w:rPr>
        <w:t xml:space="preserve"> </w:t>
      </w:r>
      <w:r w:rsidR="00282D9F">
        <w:rPr>
          <w:sz w:val="22"/>
          <w:szCs w:val="22"/>
        </w:rPr>
        <w:t>Symposium,</w:t>
      </w:r>
      <w:r w:rsidR="00282D9F" w:rsidRPr="00F00BAE">
        <w:rPr>
          <w:sz w:val="22"/>
          <w:szCs w:val="22"/>
        </w:rPr>
        <w:t xml:space="preserve"> </w:t>
      </w:r>
      <w:r w:rsidRPr="00F00BAE">
        <w:rPr>
          <w:sz w:val="22"/>
          <w:szCs w:val="22"/>
        </w:rPr>
        <w:t>Anna and I presented a roundtable exploring the question of a</w:t>
      </w:r>
      <w:r w:rsidR="00901A15">
        <w:rPr>
          <w:sz w:val="22"/>
          <w:szCs w:val="22"/>
        </w:rPr>
        <w:t>lumni data gathering</w:t>
      </w:r>
      <w:r w:rsidR="00282D9F">
        <w:rPr>
          <w:sz w:val="22"/>
          <w:szCs w:val="22"/>
        </w:rPr>
        <w:t xml:space="preserve"> and the attendees </w:t>
      </w:r>
      <w:r w:rsidRPr="00F00BAE">
        <w:rPr>
          <w:sz w:val="22"/>
          <w:szCs w:val="22"/>
        </w:rPr>
        <w:t xml:space="preserve">provided feedback </w:t>
      </w:r>
      <w:r w:rsidR="00282D9F">
        <w:rPr>
          <w:sz w:val="22"/>
          <w:szCs w:val="22"/>
        </w:rPr>
        <w:t>and enthusiastically supported</w:t>
      </w:r>
      <w:r w:rsidR="00901A15">
        <w:rPr>
          <w:sz w:val="22"/>
          <w:szCs w:val="22"/>
        </w:rPr>
        <w:t xml:space="preserve"> </w:t>
      </w:r>
      <w:r w:rsidRPr="00F00BAE">
        <w:rPr>
          <w:sz w:val="22"/>
          <w:szCs w:val="22"/>
        </w:rPr>
        <w:t xml:space="preserve">pursuing </w:t>
      </w:r>
      <w:r w:rsidR="00282D9F">
        <w:rPr>
          <w:sz w:val="22"/>
          <w:szCs w:val="22"/>
        </w:rPr>
        <w:t>alumni</w:t>
      </w:r>
      <w:r w:rsidR="00901A15">
        <w:rPr>
          <w:sz w:val="22"/>
          <w:szCs w:val="22"/>
        </w:rPr>
        <w:t xml:space="preserve"> </w:t>
      </w:r>
      <w:r w:rsidRPr="00F00BAE">
        <w:rPr>
          <w:sz w:val="22"/>
          <w:szCs w:val="22"/>
        </w:rPr>
        <w:t xml:space="preserve">research. </w:t>
      </w:r>
    </w:p>
    <w:p w:rsidR="00597816" w:rsidRPr="00F00BAE" w:rsidRDefault="00597816" w:rsidP="00597816">
      <w:pPr>
        <w:rPr>
          <w:sz w:val="22"/>
          <w:szCs w:val="22"/>
        </w:rPr>
      </w:pPr>
    </w:p>
    <w:p w:rsidR="00597816" w:rsidRPr="00F00BAE" w:rsidRDefault="00282D9F" w:rsidP="00597816">
      <w:pPr>
        <w:rPr>
          <w:sz w:val="22"/>
          <w:szCs w:val="22"/>
        </w:rPr>
      </w:pPr>
      <w:r>
        <w:rPr>
          <w:sz w:val="22"/>
          <w:szCs w:val="22"/>
        </w:rPr>
        <w:t>For every program, t</w:t>
      </w:r>
      <w:r w:rsidR="00501A86" w:rsidRPr="00F00BAE">
        <w:rPr>
          <w:sz w:val="22"/>
          <w:szCs w:val="22"/>
        </w:rPr>
        <w:t>he question of alumni outcomes is a</w:t>
      </w:r>
      <w:r w:rsidR="00901A15">
        <w:rPr>
          <w:sz w:val="22"/>
          <w:szCs w:val="22"/>
        </w:rPr>
        <w:t xml:space="preserve"> significant</w:t>
      </w:r>
      <w:r>
        <w:rPr>
          <w:sz w:val="22"/>
          <w:szCs w:val="22"/>
        </w:rPr>
        <w:t xml:space="preserve"> one</w:t>
      </w:r>
      <w:r w:rsidR="00501A86" w:rsidRPr="00F00BAE">
        <w:rPr>
          <w:sz w:val="22"/>
          <w:szCs w:val="22"/>
        </w:rPr>
        <w:t xml:space="preserve">, </w:t>
      </w:r>
      <w:r w:rsidR="00901A15">
        <w:rPr>
          <w:sz w:val="22"/>
          <w:szCs w:val="22"/>
        </w:rPr>
        <w:t>particular</w:t>
      </w:r>
      <w:r>
        <w:rPr>
          <w:sz w:val="22"/>
          <w:szCs w:val="22"/>
        </w:rPr>
        <w:t>ly</w:t>
      </w:r>
      <w:r w:rsidR="00901A15">
        <w:rPr>
          <w:sz w:val="22"/>
          <w:szCs w:val="22"/>
        </w:rPr>
        <w:t xml:space="preserve"> </w:t>
      </w:r>
      <w:r>
        <w:rPr>
          <w:sz w:val="22"/>
          <w:szCs w:val="22"/>
        </w:rPr>
        <w:t xml:space="preserve">for </w:t>
      </w:r>
      <w:r w:rsidR="00901A15">
        <w:rPr>
          <w:sz w:val="22"/>
          <w:szCs w:val="22"/>
        </w:rPr>
        <w:t xml:space="preserve">courses that </w:t>
      </w:r>
      <w:r w:rsidR="00501A86" w:rsidRPr="00F00BAE">
        <w:rPr>
          <w:sz w:val="22"/>
          <w:szCs w:val="22"/>
        </w:rPr>
        <w:t>pursue significant course-based civic engagement.  These transformational experiences result in much useful end-of-the semester data, but the linge</w:t>
      </w:r>
      <w:r w:rsidR="00901A15">
        <w:rPr>
          <w:sz w:val="22"/>
          <w:szCs w:val="22"/>
        </w:rPr>
        <w:t>ring question of long-term growth</w:t>
      </w:r>
      <w:r w:rsidR="00501A86" w:rsidRPr="00F00BAE">
        <w:rPr>
          <w:sz w:val="22"/>
          <w:szCs w:val="22"/>
        </w:rPr>
        <w:t xml:space="preserve"> or changes in behavior remains.  In addition to providing data</w:t>
      </w:r>
      <w:r w:rsidR="009B57E7">
        <w:rPr>
          <w:sz w:val="22"/>
          <w:szCs w:val="22"/>
        </w:rPr>
        <w:t xml:space="preserve"> and processes</w:t>
      </w:r>
      <w:r w:rsidR="00501A86" w:rsidRPr="00F00BAE">
        <w:rPr>
          <w:sz w:val="22"/>
          <w:szCs w:val="22"/>
        </w:rPr>
        <w:t xml:space="preserve"> that will result in </w:t>
      </w:r>
      <w:r w:rsidR="009B57E7">
        <w:rPr>
          <w:sz w:val="22"/>
          <w:szCs w:val="22"/>
        </w:rPr>
        <w:t xml:space="preserve">publication and inform potential refinements to Public Discourse, </w:t>
      </w:r>
      <w:r w:rsidR="00501A86" w:rsidRPr="00F00BAE">
        <w:rPr>
          <w:sz w:val="22"/>
          <w:szCs w:val="22"/>
        </w:rPr>
        <w:t>this projec</w:t>
      </w:r>
      <w:r w:rsidR="00901A15">
        <w:rPr>
          <w:sz w:val="22"/>
          <w:szCs w:val="22"/>
        </w:rPr>
        <w:t xml:space="preserve">t </w:t>
      </w:r>
      <w:r w:rsidR="00501A86" w:rsidRPr="00F00BAE">
        <w:rPr>
          <w:sz w:val="22"/>
          <w:szCs w:val="22"/>
        </w:rPr>
        <w:t xml:space="preserve">seeks to uncover best practices for pursuing </w:t>
      </w:r>
      <w:r w:rsidR="009B57E7">
        <w:rPr>
          <w:sz w:val="22"/>
          <w:szCs w:val="22"/>
        </w:rPr>
        <w:t>longitudinal outcomes</w:t>
      </w:r>
      <w:r w:rsidR="00501A86" w:rsidRPr="00F00BAE">
        <w:rPr>
          <w:sz w:val="22"/>
          <w:szCs w:val="22"/>
        </w:rPr>
        <w:t xml:space="preserve"> and provide support for other programs, both internal and external, who wish to explore the longitudinal outcomes of significant course-based civic engagement or other transformational educational practices.</w:t>
      </w:r>
    </w:p>
    <w:p w:rsidR="00DA23BD" w:rsidRPr="00F00BAE" w:rsidRDefault="00DA23BD" w:rsidP="0070706C">
      <w:pPr>
        <w:rPr>
          <w:sz w:val="22"/>
          <w:szCs w:val="22"/>
        </w:rPr>
      </w:pPr>
    </w:p>
    <w:p w:rsidR="008126CE" w:rsidRPr="00F00BAE" w:rsidRDefault="008126CE" w:rsidP="008126CE">
      <w:pPr>
        <w:rPr>
          <w:sz w:val="22"/>
          <w:szCs w:val="22"/>
        </w:rPr>
      </w:pPr>
      <w:r w:rsidRPr="00F00BAE">
        <w:rPr>
          <w:sz w:val="22"/>
          <w:szCs w:val="22"/>
        </w:rPr>
        <w:t xml:space="preserve">I </w:t>
      </w:r>
      <w:r w:rsidR="00901A15">
        <w:rPr>
          <w:sz w:val="22"/>
          <w:szCs w:val="22"/>
        </w:rPr>
        <w:t>am aware</w:t>
      </w:r>
      <w:r w:rsidRPr="00F00BAE">
        <w:rPr>
          <w:sz w:val="22"/>
          <w:szCs w:val="22"/>
        </w:rPr>
        <w:t xml:space="preserve"> that my recent receipt of a Presidential Collaboration Grant places my applic</w:t>
      </w:r>
      <w:r w:rsidR="00901A15">
        <w:rPr>
          <w:sz w:val="22"/>
          <w:szCs w:val="22"/>
        </w:rPr>
        <w:t xml:space="preserve">ation low on the priority list; however, I submit this application because </w:t>
      </w:r>
      <w:r w:rsidRPr="00F00BAE">
        <w:rPr>
          <w:sz w:val="22"/>
          <w:szCs w:val="22"/>
        </w:rPr>
        <w:t>this research is pressing</w:t>
      </w:r>
      <w:r w:rsidR="00901A15">
        <w:rPr>
          <w:sz w:val="22"/>
          <w:szCs w:val="22"/>
        </w:rPr>
        <w:t xml:space="preserve">, potentially contributes to the </w:t>
      </w:r>
      <w:r w:rsidR="00EC6E46" w:rsidRPr="00EC6E46">
        <w:rPr>
          <w:sz w:val="22"/>
          <w:szCs w:val="22"/>
        </w:rPr>
        <w:t>C</w:t>
      </w:r>
      <w:r w:rsidR="00901A15" w:rsidRPr="00EC6E46">
        <w:rPr>
          <w:sz w:val="22"/>
          <w:szCs w:val="22"/>
        </w:rPr>
        <w:t>ollege</w:t>
      </w:r>
      <w:r w:rsidR="005E7818" w:rsidRPr="00EC6E46">
        <w:rPr>
          <w:sz w:val="22"/>
          <w:szCs w:val="22"/>
        </w:rPr>
        <w:t>’s</w:t>
      </w:r>
      <w:r w:rsidR="00901A15">
        <w:rPr>
          <w:sz w:val="22"/>
          <w:szCs w:val="22"/>
        </w:rPr>
        <w:t xml:space="preserve"> assessment endeavors,</w:t>
      </w:r>
      <w:r w:rsidRPr="00F00BAE">
        <w:rPr>
          <w:sz w:val="22"/>
          <w:szCs w:val="22"/>
        </w:rPr>
        <w:t xml:space="preserve"> and the perfect collaborator is set to graduate in spring 2015.</w:t>
      </w:r>
    </w:p>
    <w:p w:rsidR="00A819D1" w:rsidRPr="00F00BAE" w:rsidRDefault="00A819D1" w:rsidP="0070706C">
      <w:pPr>
        <w:rPr>
          <w:sz w:val="22"/>
          <w:szCs w:val="22"/>
        </w:rPr>
      </w:pPr>
    </w:p>
    <w:p w:rsidR="00BB6EA2" w:rsidRPr="00F00BAE" w:rsidRDefault="00BB6EA2" w:rsidP="0070706C">
      <w:pPr>
        <w:rPr>
          <w:b/>
          <w:sz w:val="22"/>
          <w:szCs w:val="22"/>
        </w:rPr>
      </w:pPr>
      <w:r w:rsidRPr="00F00BAE">
        <w:rPr>
          <w:b/>
          <w:sz w:val="22"/>
          <w:szCs w:val="22"/>
        </w:rPr>
        <w:t>Brief Description of the Proposed Project</w:t>
      </w:r>
    </w:p>
    <w:p w:rsidR="00BB6EA2" w:rsidRPr="00F00BAE" w:rsidRDefault="00BB6EA2" w:rsidP="0070706C">
      <w:pPr>
        <w:rPr>
          <w:sz w:val="22"/>
          <w:szCs w:val="22"/>
        </w:rPr>
      </w:pPr>
    </w:p>
    <w:p w:rsidR="008B5EBC" w:rsidRPr="00F00BAE" w:rsidRDefault="00501A86" w:rsidP="008B5EBC">
      <w:pPr>
        <w:rPr>
          <w:sz w:val="22"/>
          <w:szCs w:val="22"/>
        </w:rPr>
      </w:pPr>
      <w:r w:rsidRPr="00F00BAE">
        <w:rPr>
          <w:sz w:val="22"/>
          <w:szCs w:val="22"/>
        </w:rPr>
        <w:t xml:space="preserve">Assessing the potential longitudinal influences of significant course-based civic engagement </w:t>
      </w:r>
      <w:r w:rsidR="009B57E7">
        <w:rPr>
          <w:sz w:val="22"/>
          <w:szCs w:val="22"/>
        </w:rPr>
        <w:t xml:space="preserve">provides insight into </w:t>
      </w:r>
      <w:r w:rsidRPr="00F00BAE">
        <w:rPr>
          <w:sz w:val="22"/>
          <w:szCs w:val="22"/>
        </w:rPr>
        <w:t xml:space="preserve">understanding the value and outcomes of </w:t>
      </w:r>
      <w:r w:rsidR="009B57E7">
        <w:rPr>
          <w:sz w:val="22"/>
          <w:szCs w:val="22"/>
        </w:rPr>
        <w:t xml:space="preserve">student </w:t>
      </w:r>
      <w:r w:rsidRPr="00F00BAE">
        <w:rPr>
          <w:sz w:val="22"/>
          <w:szCs w:val="22"/>
        </w:rPr>
        <w:t>civic engagement. We will pilot three methods of longitudinal assessment—standardized college assessments, an alumni survey, and alumni focus groups.</w:t>
      </w:r>
      <w:r w:rsidR="009B57E7">
        <w:rPr>
          <w:sz w:val="22"/>
          <w:szCs w:val="22"/>
        </w:rPr>
        <w:t xml:space="preserve">  </w:t>
      </w:r>
      <w:r w:rsidR="008B5EBC" w:rsidRPr="00F00BAE">
        <w:rPr>
          <w:sz w:val="22"/>
          <w:szCs w:val="22"/>
        </w:rPr>
        <w:t xml:space="preserve">While </w:t>
      </w:r>
      <w:r w:rsidR="009B57E7">
        <w:rPr>
          <w:sz w:val="22"/>
          <w:szCs w:val="22"/>
        </w:rPr>
        <w:t xml:space="preserve">College </w:t>
      </w:r>
      <w:r w:rsidR="008B5EBC" w:rsidRPr="00F00BAE">
        <w:rPr>
          <w:sz w:val="22"/>
          <w:szCs w:val="22"/>
        </w:rPr>
        <w:t>standardized</w:t>
      </w:r>
      <w:r w:rsidR="009B57E7">
        <w:rPr>
          <w:sz w:val="22"/>
          <w:szCs w:val="22"/>
        </w:rPr>
        <w:t xml:space="preserve"> instruments could</w:t>
      </w:r>
      <w:r w:rsidRPr="00F00BAE">
        <w:rPr>
          <w:sz w:val="22"/>
          <w:szCs w:val="22"/>
        </w:rPr>
        <w:t xml:space="preserve"> demonstrate the longitudinal influence of course-based civic engagement on college students, alumni surveys and focus gr</w:t>
      </w:r>
      <w:r w:rsidR="009B57E7">
        <w:rPr>
          <w:sz w:val="22"/>
          <w:szCs w:val="22"/>
        </w:rPr>
        <w:t>oups would measure outcomes after</w:t>
      </w:r>
      <w:r w:rsidRPr="00F00BAE">
        <w:rPr>
          <w:sz w:val="22"/>
          <w:szCs w:val="22"/>
        </w:rPr>
        <w:t xml:space="preserve"> students leave college. </w:t>
      </w:r>
      <w:r w:rsidR="007A285D" w:rsidRPr="00F00BAE">
        <w:rPr>
          <w:sz w:val="22"/>
          <w:szCs w:val="22"/>
        </w:rPr>
        <w:t xml:space="preserve">As Anna and I found, </w:t>
      </w:r>
      <w:r w:rsidR="00EC6E46">
        <w:rPr>
          <w:sz w:val="22"/>
          <w:szCs w:val="22"/>
        </w:rPr>
        <w:t>r</w:t>
      </w:r>
      <w:r w:rsidR="007A285D" w:rsidRPr="00F00BAE">
        <w:rPr>
          <w:sz w:val="22"/>
          <w:szCs w:val="22"/>
        </w:rPr>
        <w:t>ich narrative data captures a depth and full understanding of the student/alumni experience.</w:t>
      </w:r>
      <w:r w:rsidR="009B57E7">
        <w:rPr>
          <w:sz w:val="22"/>
          <w:szCs w:val="22"/>
        </w:rPr>
        <w:t xml:space="preserve">  Exploring longitudinal outcomes is</w:t>
      </w:r>
      <w:r w:rsidR="008B5EBC" w:rsidRPr="00F00BAE">
        <w:rPr>
          <w:sz w:val="22"/>
          <w:szCs w:val="22"/>
        </w:rPr>
        <w:t xml:space="preserve"> perfect for student-faculty collaboration and, quite frankly, the extent and nature of the work requires a collaborator, particularly a student collaborator whose perspective can inform and help guide the process.  </w:t>
      </w:r>
    </w:p>
    <w:p w:rsidR="007A285D" w:rsidRPr="00F00BAE" w:rsidRDefault="007A285D" w:rsidP="00501A86">
      <w:pPr>
        <w:rPr>
          <w:sz w:val="22"/>
          <w:szCs w:val="22"/>
        </w:rPr>
      </w:pPr>
    </w:p>
    <w:p w:rsidR="007A285D" w:rsidRPr="00F00BAE" w:rsidRDefault="007A285D" w:rsidP="007A285D">
      <w:pPr>
        <w:rPr>
          <w:sz w:val="22"/>
          <w:szCs w:val="22"/>
        </w:rPr>
      </w:pPr>
      <w:r w:rsidRPr="00F00BAE">
        <w:rPr>
          <w:sz w:val="22"/>
          <w:szCs w:val="22"/>
        </w:rPr>
        <w:t>Mariah Wika</w:t>
      </w:r>
      <w:r w:rsidR="009B57E7">
        <w:rPr>
          <w:sz w:val="22"/>
          <w:szCs w:val="22"/>
        </w:rPr>
        <w:t xml:space="preserve"> ’15</w:t>
      </w:r>
      <w:r w:rsidRPr="00F00BAE">
        <w:rPr>
          <w:sz w:val="22"/>
          <w:szCs w:val="22"/>
        </w:rPr>
        <w:t xml:space="preserve"> understands the importance of the narrative data and has been involved in a number of efforts to compile </w:t>
      </w:r>
      <w:r w:rsidR="00901A15">
        <w:rPr>
          <w:sz w:val="22"/>
          <w:szCs w:val="22"/>
        </w:rPr>
        <w:t>Public Discourse narratives</w:t>
      </w:r>
      <w:r w:rsidRPr="00F00BAE">
        <w:rPr>
          <w:sz w:val="22"/>
          <w:szCs w:val="22"/>
        </w:rPr>
        <w:t xml:space="preserve">.  She completed Public Discourse in Spring 2012.  Consistent with over half of Public Discourse students, she continued to work on her project beyond the semester; her Public Discourse experience brought her into contact with </w:t>
      </w:r>
      <w:r w:rsidRPr="00F00BAE">
        <w:rPr>
          <w:sz w:val="22"/>
          <w:szCs w:val="22"/>
        </w:rPr>
        <w:lastRenderedPageBreak/>
        <w:t xml:space="preserve">refugees in Mankato.  Mariah participated in our Public Discourse Night (in the first week of the semester, a panel of PD alumni present their projects to new PD students), coordinating </w:t>
      </w:r>
      <w:r w:rsidR="009B57E7">
        <w:rPr>
          <w:sz w:val="22"/>
          <w:szCs w:val="22"/>
        </w:rPr>
        <w:t>and facilitating the conservation</w:t>
      </w:r>
      <w:r w:rsidR="00901A15">
        <w:rPr>
          <w:sz w:val="22"/>
          <w:szCs w:val="22"/>
        </w:rPr>
        <w:t xml:space="preserve">.  </w:t>
      </w:r>
      <w:r w:rsidRPr="00F00BAE">
        <w:rPr>
          <w:sz w:val="22"/>
          <w:szCs w:val="22"/>
        </w:rPr>
        <w:t xml:space="preserve">In Mariah’s Public Discourse section, I piloted the first chapters of the book, and she provided copious and useful feedback.  In fall 2012, she completed an Independent Study, in which she </w:t>
      </w:r>
      <w:r w:rsidR="00EC6E46">
        <w:rPr>
          <w:sz w:val="22"/>
          <w:szCs w:val="22"/>
        </w:rPr>
        <w:t>e</w:t>
      </w:r>
      <w:r w:rsidRPr="00F00BAE">
        <w:rPr>
          <w:sz w:val="22"/>
          <w:szCs w:val="22"/>
        </w:rPr>
        <w:t xml:space="preserve">xplored course content and pedagogy as a teaching assistant for Public Discourse.  She held office hours, assisted students with writing, speaking, and researching, and edited the first coursepack for revision in Spring 2013.  Additionally, Mariah conducted interviews and wrote six student narratives that are included in the text Epilogue.  In Spring 2013, Mariah led focus groups in two sections of Public Discourse and collected student responses to the coursepack.  In summer 2013, Mariah, on her own time, provided a complete edit of the text, including </w:t>
      </w:r>
      <w:r w:rsidR="009B57E7">
        <w:rPr>
          <w:sz w:val="22"/>
          <w:szCs w:val="22"/>
        </w:rPr>
        <w:t xml:space="preserve">changes precipitated by student feedback and </w:t>
      </w:r>
      <w:r w:rsidRPr="00F00BAE">
        <w:rPr>
          <w:sz w:val="22"/>
          <w:szCs w:val="22"/>
        </w:rPr>
        <w:t>exceptional the</w:t>
      </w:r>
      <w:r w:rsidR="009B57E7">
        <w:rPr>
          <w:sz w:val="22"/>
          <w:szCs w:val="22"/>
        </w:rPr>
        <w:t xml:space="preserve">oretical contributions from </w:t>
      </w:r>
      <w:r w:rsidRPr="00F00BAE">
        <w:rPr>
          <w:sz w:val="22"/>
          <w:szCs w:val="22"/>
        </w:rPr>
        <w:t>readings in her other coursework. Mariah has been the most present and most excellent of editors and has expended a great deal of personal effort to collect, collate, and advocate for student narrat</w:t>
      </w:r>
      <w:r w:rsidR="009B57E7">
        <w:rPr>
          <w:sz w:val="22"/>
          <w:szCs w:val="22"/>
        </w:rPr>
        <w:t>ives as part of the text and</w:t>
      </w:r>
      <w:r w:rsidRPr="00F00BAE">
        <w:rPr>
          <w:sz w:val="22"/>
          <w:szCs w:val="22"/>
        </w:rPr>
        <w:t xml:space="preserve"> assessment.</w:t>
      </w:r>
    </w:p>
    <w:p w:rsidR="008B5EBC" w:rsidRPr="00F00BAE" w:rsidRDefault="008B5EBC" w:rsidP="007A285D">
      <w:pPr>
        <w:rPr>
          <w:sz w:val="22"/>
          <w:szCs w:val="22"/>
        </w:rPr>
      </w:pPr>
    </w:p>
    <w:p w:rsidR="008B5EBC" w:rsidRPr="00F00BAE" w:rsidRDefault="008B5EBC" w:rsidP="008B5EBC">
      <w:pPr>
        <w:rPr>
          <w:sz w:val="22"/>
          <w:szCs w:val="22"/>
        </w:rPr>
      </w:pPr>
      <w:r w:rsidRPr="00F00BAE">
        <w:rPr>
          <w:sz w:val="22"/>
          <w:szCs w:val="22"/>
        </w:rPr>
        <w:t>The study group would be of alumni of Public Discourse at Gustavus Adolphus College.  Public Discourse replaced Public Speaking as a course in 2007.  Over 1000 students have completed Publ</w:t>
      </w:r>
      <w:r w:rsidR="009B57E7">
        <w:rPr>
          <w:sz w:val="22"/>
          <w:szCs w:val="22"/>
        </w:rPr>
        <w:t xml:space="preserve">ic Discourse, and over 600 </w:t>
      </w:r>
      <w:r w:rsidRPr="00F00BAE">
        <w:rPr>
          <w:sz w:val="22"/>
          <w:szCs w:val="22"/>
        </w:rPr>
        <w:t xml:space="preserve">graduated from 2008-2013.  In the study, we would also include alumni who had the former Public Speaking course, as it will provide a </w:t>
      </w:r>
      <w:r w:rsidR="00EC6E46">
        <w:rPr>
          <w:sz w:val="22"/>
          <w:szCs w:val="22"/>
        </w:rPr>
        <w:t xml:space="preserve">critical </w:t>
      </w:r>
      <w:r w:rsidRPr="00F00BAE">
        <w:rPr>
          <w:sz w:val="22"/>
          <w:szCs w:val="22"/>
        </w:rPr>
        <w:t>point of comparison (course material is similar, the main difference is the significant course-based civic engagement experience).</w:t>
      </w:r>
    </w:p>
    <w:p w:rsidR="008B5EBC" w:rsidRPr="00F00BAE" w:rsidRDefault="008B5EBC" w:rsidP="008B5EBC">
      <w:pPr>
        <w:rPr>
          <w:sz w:val="22"/>
          <w:szCs w:val="22"/>
        </w:rPr>
      </w:pPr>
    </w:p>
    <w:p w:rsidR="008B5EBC" w:rsidRPr="00F00BAE" w:rsidRDefault="004B3C09" w:rsidP="008B5EBC">
      <w:pPr>
        <w:rPr>
          <w:sz w:val="22"/>
          <w:szCs w:val="22"/>
        </w:rPr>
      </w:pPr>
      <w:r>
        <w:rPr>
          <w:sz w:val="22"/>
          <w:szCs w:val="22"/>
        </w:rPr>
        <w:t>T</w:t>
      </w:r>
      <w:r w:rsidR="008B5EBC" w:rsidRPr="00F00BAE">
        <w:rPr>
          <w:sz w:val="22"/>
          <w:szCs w:val="22"/>
        </w:rPr>
        <w:t xml:space="preserve">he College utilizes the College Senior Survey and other CIRP (Cooperative Institutional Research Program) instruments as developed by </w:t>
      </w:r>
      <w:r w:rsidR="008B5EBC" w:rsidRPr="00F00BAE">
        <w:rPr>
          <w:color w:val="000000"/>
          <w:sz w:val="22"/>
          <w:szCs w:val="22"/>
          <w:shd w:val="clear" w:color="auto" w:fill="FFFFFF"/>
        </w:rPr>
        <w:t>The University of California’s Higher Education Research Institute.  The College Senior Survey (CSS) “connects academic, civic, and diversity outcomes with a comprehensive set of college experiences to measure the impact of college.”</w:t>
      </w:r>
      <w:r>
        <w:rPr>
          <w:rStyle w:val="FootnoteReference"/>
          <w:color w:val="000000"/>
          <w:sz w:val="22"/>
          <w:szCs w:val="22"/>
          <w:shd w:val="clear" w:color="auto" w:fill="FFFFFF"/>
        </w:rPr>
        <w:footnoteReference w:id="1"/>
      </w:r>
      <w:r w:rsidR="008B5EBC" w:rsidRPr="00F00BAE">
        <w:rPr>
          <w:color w:val="000000"/>
          <w:sz w:val="22"/>
          <w:szCs w:val="22"/>
          <w:shd w:val="clear" w:color="auto" w:fill="FFFFFF"/>
        </w:rPr>
        <w:t xml:space="preserve">  </w:t>
      </w:r>
      <w:r w:rsidR="008B5EBC" w:rsidRPr="00F00BAE">
        <w:rPr>
          <w:sz w:val="22"/>
          <w:szCs w:val="22"/>
        </w:rPr>
        <w:t>The College uses the College Senior Survey in combination with The Freshman Survey (TFS) and Your F</w:t>
      </w:r>
      <w:r>
        <w:rPr>
          <w:sz w:val="22"/>
          <w:szCs w:val="22"/>
        </w:rPr>
        <w:t xml:space="preserve">irst College Year (YFCY) to yield, as </w:t>
      </w:r>
      <w:r w:rsidR="001B2F5D">
        <w:rPr>
          <w:sz w:val="22"/>
          <w:szCs w:val="22"/>
        </w:rPr>
        <w:t>HERI</w:t>
      </w:r>
      <w:r>
        <w:rPr>
          <w:sz w:val="22"/>
          <w:szCs w:val="22"/>
        </w:rPr>
        <w:t xml:space="preserve"> claims,</w:t>
      </w:r>
      <w:r w:rsidR="008B5EBC" w:rsidRPr="00F00BAE">
        <w:rPr>
          <w:color w:val="000000"/>
          <w:sz w:val="22"/>
          <w:szCs w:val="22"/>
          <w:shd w:val="clear" w:color="auto" w:fill="FFFFFF"/>
        </w:rPr>
        <w:t xml:space="preserve"> “valuable longitudinal data on students' cognitive and affective growth during college.”</w:t>
      </w:r>
      <w:r>
        <w:rPr>
          <w:rStyle w:val="FootnoteReference"/>
          <w:color w:val="000000"/>
          <w:sz w:val="22"/>
          <w:szCs w:val="22"/>
          <w:shd w:val="clear" w:color="auto" w:fill="FFFFFF"/>
        </w:rPr>
        <w:footnoteReference w:id="2"/>
      </w:r>
      <w:r w:rsidR="005748D5">
        <w:rPr>
          <w:sz w:val="22"/>
          <w:szCs w:val="22"/>
        </w:rPr>
        <w:t xml:space="preserve">  Potentially, the </w:t>
      </w:r>
      <w:r w:rsidR="008B5EBC" w:rsidRPr="00F00BAE">
        <w:rPr>
          <w:sz w:val="22"/>
          <w:szCs w:val="22"/>
        </w:rPr>
        <w:t xml:space="preserve">CSS in combination with other instruments (TFS and YFCY) could indicate specific areas of </w:t>
      </w:r>
      <w:r w:rsidR="00EC6E46">
        <w:rPr>
          <w:sz w:val="22"/>
          <w:szCs w:val="22"/>
        </w:rPr>
        <w:t>g</w:t>
      </w:r>
      <w:r w:rsidR="008B5EBC" w:rsidRPr="00F00BAE">
        <w:rPr>
          <w:sz w:val="22"/>
          <w:szCs w:val="22"/>
        </w:rPr>
        <w:t xml:space="preserve">rowth for </w:t>
      </w:r>
      <w:r w:rsidR="001B2F5D">
        <w:rPr>
          <w:sz w:val="22"/>
          <w:szCs w:val="22"/>
        </w:rPr>
        <w:t>Public Discourse students.</w:t>
      </w:r>
    </w:p>
    <w:p w:rsidR="008B5EBC" w:rsidRPr="00F00BAE" w:rsidRDefault="008B5EBC" w:rsidP="008B5EBC">
      <w:pPr>
        <w:rPr>
          <w:sz w:val="22"/>
          <w:szCs w:val="22"/>
        </w:rPr>
      </w:pPr>
    </w:p>
    <w:p w:rsidR="008B5EBC" w:rsidRPr="00F00BAE" w:rsidRDefault="008B5EBC" w:rsidP="008B5EBC">
      <w:pPr>
        <w:rPr>
          <w:sz w:val="22"/>
          <w:szCs w:val="22"/>
        </w:rPr>
      </w:pPr>
      <w:r w:rsidRPr="00F00BAE">
        <w:rPr>
          <w:sz w:val="22"/>
          <w:szCs w:val="22"/>
        </w:rPr>
        <w:t xml:space="preserve">The 50% response rate for the CSS </w:t>
      </w:r>
      <w:r w:rsidR="001B2F5D">
        <w:rPr>
          <w:sz w:val="22"/>
          <w:szCs w:val="22"/>
        </w:rPr>
        <w:t>would hopefully yield at least 1</w:t>
      </w:r>
      <w:r w:rsidRPr="00F00BAE">
        <w:rPr>
          <w:sz w:val="22"/>
          <w:szCs w:val="22"/>
        </w:rPr>
        <w:t xml:space="preserve">00 subjects. Data for each survey is available by student identification number from the Office of Institutional Research.  The data for the Public Discourse students will be compared to data for previous Public Speaking students and to the student body as a whole.  The data will also be analyzed in relation to when students took Public Discourse (first year or senior), </w:t>
      </w:r>
      <w:r w:rsidR="001B2F5D">
        <w:rPr>
          <w:sz w:val="22"/>
          <w:szCs w:val="22"/>
        </w:rPr>
        <w:t>major, and sex.  The</w:t>
      </w:r>
      <w:r w:rsidRPr="00F00BAE">
        <w:rPr>
          <w:sz w:val="22"/>
          <w:szCs w:val="22"/>
        </w:rPr>
        <w:t xml:space="preserve"> data compari</w:t>
      </w:r>
      <w:r w:rsidR="001B2F5D">
        <w:rPr>
          <w:sz w:val="22"/>
          <w:szCs w:val="22"/>
        </w:rPr>
        <w:t>sons will determine whether these national instrument</w:t>
      </w:r>
      <w:r w:rsidR="00EC6E46">
        <w:rPr>
          <w:sz w:val="22"/>
          <w:szCs w:val="22"/>
        </w:rPr>
        <w:t>s</w:t>
      </w:r>
      <w:r w:rsidR="001B2F5D">
        <w:rPr>
          <w:sz w:val="22"/>
          <w:szCs w:val="22"/>
        </w:rPr>
        <w:t xml:space="preserve"> demonstrate </w:t>
      </w:r>
      <w:r w:rsidRPr="00F00BAE">
        <w:rPr>
          <w:sz w:val="22"/>
          <w:szCs w:val="22"/>
        </w:rPr>
        <w:t xml:space="preserve">significant differences in Public Discourse student outcomes.  If significant differences are </w:t>
      </w:r>
      <w:r w:rsidR="001B2F5D">
        <w:rPr>
          <w:sz w:val="22"/>
          <w:szCs w:val="22"/>
        </w:rPr>
        <w:t xml:space="preserve">found, </w:t>
      </w:r>
      <w:r w:rsidR="001B2F5D" w:rsidRPr="00F00BAE">
        <w:rPr>
          <w:sz w:val="22"/>
          <w:szCs w:val="22"/>
        </w:rPr>
        <w:t xml:space="preserve">instructors and departments/programs </w:t>
      </w:r>
      <w:r w:rsidR="001B2F5D">
        <w:rPr>
          <w:sz w:val="22"/>
          <w:szCs w:val="22"/>
        </w:rPr>
        <w:t xml:space="preserve">could utilize CIRP data to </w:t>
      </w:r>
      <w:r w:rsidRPr="00F00BAE">
        <w:rPr>
          <w:sz w:val="22"/>
          <w:szCs w:val="22"/>
        </w:rPr>
        <w:t xml:space="preserve">assess the influence </w:t>
      </w:r>
      <w:r w:rsidR="001B2F5D">
        <w:rPr>
          <w:sz w:val="22"/>
          <w:szCs w:val="22"/>
        </w:rPr>
        <w:t xml:space="preserve">of </w:t>
      </w:r>
      <w:r w:rsidRPr="00F00BAE">
        <w:rPr>
          <w:sz w:val="22"/>
          <w:szCs w:val="22"/>
        </w:rPr>
        <w:t>course-based civic engagement.  The results could provide insight into the use of CSS and potentially other national instruments (CLA and NSSE) at other colleges and universities</w:t>
      </w:r>
    </w:p>
    <w:p w:rsidR="008B5EBC" w:rsidRPr="00F00BAE" w:rsidRDefault="008B5EBC" w:rsidP="008B5EBC">
      <w:pPr>
        <w:rPr>
          <w:sz w:val="22"/>
          <w:szCs w:val="22"/>
        </w:rPr>
      </w:pPr>
    </w:p>
    <w:p w:rsidR="008B5EBC" w:rsidRPr="00F00BAE" w:rsidRDefault="008B5EBC" w:rsidP="008B5EBC">
      <w:pPr>
        <w:rPr>
          <w:sz w:val="22"/>
          <w:szCs w:val="22"/>
        </w:rPr>
      </w:pPr>
      <w:r w:rsidRPr="00F00BAE">
        <w:rPr>
          <w:sz w:val="22"/>
          <w:szCs w:val="22"/>
        </w:rPr>
        <w:t xml:space="preserve">An alumni survey will be crafted to ask questions about potential </w:t>
      </w:r>
      <w:r w:rsidR="00EC6E46">
        <w:rPr>
          <w:sz w:val="22"/>
          <w:szCs w:val="22"/>
        </w:rPr>
        <w:t>outcomes related to civic engagement and long-term growth</w:t>
      </w:r>
      <w:r w:rsidRPr="00F00BAE">
        <w:rPr>
          <w:sz w:val="22"/>
          <w:szCs w:val="22"/>
        </w:rPr>
        <w:t xml:space="preserve">.  Final student reflection papers describing their outcomes and a few alumni focus groups will be used to hone survey questions to ensure that they yield useful answers and capture the fullness of potential outcomes.  The survey will also include space for </w:t>
      </w:r>
      <w:r w:rsidRPr="00F00BAE">
        <w:rPr>
          <w:sz w:val="22"/>
          <w:szCs w:val="22"/>
        </w:rPr>
        <w:lastRenderedPageBreak/>
        <w:t>alumni to write about individual experiences and outcomes beyond those on the survey.  The survey will be sent via email to the 600 Public Discourse alumni.  The results will be tabulated and coded (the narrative responses) for themes.  Ideally, the survey would also be sent to former Public Speaking students and students who had neither course to test whether the results of the Public Discourse stu</w:t>
      </w:r>
      <w:r w:rsidR="001B2F5D">
        <w:rPr>
          <w:sz w:val="22"/>
          <w:szCs w:val="22"/>
        </w:rPr>
        <w:t>dents are unique to the course experience.</w:t>
      </w:r>
    </w:p>
    <w:p w:rsidR="008B5EBC" w:rsidRPr="00F00BAE" w:rsidRDefault="008B5EBC" w:rsidP="008B5EBC">
      <w:pPr>
        <w:rPr>
          <w:sz w:val="22"/>
          <w:szCs w:val="22"/>
        </w:rPr>
      </w:pPr>
    </w:p>
    <w:p w:rsidR="008B5EBC" w:rsidRPr="00F00BAE" w:rsidRDefault="008B5EBC" w:rsidP="008B5EBC">
      <w:pPr>
        <w:rPr>
          <w:sz w:val="22"/>
          <w:szCs w:val="22"/>
        </w:rPr>
      </w:pPr>
      <w:r w:rsidRPr="00F00BAE">
        <w:rPr>
          <w:sz w:val="22"/>
          <w:szCs w:val="22"/>
        </w:rPr>
        <w:t>Based on the data drawn from the survey</w:t>
      </w:r>
      <w:r w:rsidRPr="00EC6E46">
        <w:rPr>
          <w:sz w:val="22"/>
          <w:szCs w:val="22"/>
        </w:rPr>
        <w:t>s</w:t>
      </w:r>
      <w:r w:rsidR="00250BFD" w:rsidRPr="00EC6E46">
        <w:rPr>
          <w:sz w:val="22"/>
          <w:szCs w:val="22"/>
        </w:rPr>
        <w:t>,</w:t>
      </w:r>
      <w:r w:rsidRPr="00F00BAE">
        <w:rPr>
          <w:sz w:val="22"/>
          <w:szCs w:val="22"/>
        </w:rPr>
        <w:t xml:space="preserve"> additional questions will be explored through alumni focus groups.  The focus groups should provide clarification and depth to the outcomes.  Further, meeting with alumni and involving them in campus work could </w:t>
      </w:r>
      <w:r w:rsidR="00EC6E46">
        <w:rPr>
          <w:sz w:val="22"/>
          <w:szCs w:val="22"/>
        </w:rPr>
        <w:t xml:space="preserve">potentially </w:t>
      </w:r>
      <w:r w:rsidRPr="00F00BAE">
        <w:rPr>
          <w:sz w:val="22"/>
          <w:szCs w:val="22"/>
        </w:rPr>
        <w:t xml:space="preserve">have long term influence on their involvement </w:t>
      </w:r>
      <w:r w:rsidR="00F00BAE">
        <w:rPr>
          <w:sz w:val="22"/>
          <w:szCs w:val="22"/>
        </w:rPr>
        <w:t>with the College.</w:t>
      </w:r>
    </w:p>
    <w:p w:rsidR="008B5EBC" w:rsidRPr="00F00BAE" w:rsidRDefault="008B5EBC" w:rsidP="007A285D">
      <w:pPr>
        <w:rPr>
          <w:sz w:val="22"/>
          <w:szCs w:val="22"/>
        </w:rPr>
      </w:pPr>
    </w:p>
    <w:p w:rsidR="007A285D" w:rsidRPr="00F00BAE" w:rsidRDefault="007A285D" w:rsidP="007A285D">
      <w:pPr>
        <w:rPr>
          <w:sz w:val="22"/>
          <w:szCs w:val="22"/>
        </w:rPr>
      </w:pPr>
      <w:r w:rsidRPr="00F00BAE">
        <w:rPr>
          <w:sz w:val="22"/>
          <w:szCs w:val="22"/>
        </w:rPr>
        <w:t xml:space="preserve">This spring, Mariah and I will begin the project by reviewing previous data sets, examining alumni </w:t>
      </w:r>
      <w:r w:rsidR="00250BFD">
        <w:rPr>
          <w:sz w:val="22"/>
          <w:szCs w:val="22"/>
        </w:rPr>
        <w:t>survey</w:t>
      </w:r>
      <w:r w:rsidRPr="00F00BAE">
        <w:rPr>
          <w:sz w:val="22"/>
          <w:szCs w:val="22"/>
        </w:rPr>
        <w:t xml:space="preserve"> and focus group questions used by other institutions, and talking with colleagues about most important questions for alumni.  We will construct a draft of the alumni survey and pilot it with current students who completed Public Discourse in prior semesters.  This feedback will help us hone the instrument.  This draft will then be shared with the Kettering Working Group on Deliberation in the Classroom (I am a member of this group and hope that I will be able to bring Mariah with me to the May meeting).  This group will provide additional feedback, and, after further revisions, we will send out the survey on June 1</w:t>
      </w:r>
      <w:r w:rsidRPr="00F00BAE">
        <w:rPr>
          <w:sz w:val="22"/>
          <w:szCs w:val="22"/>
          <w:vertAlign w:val="superscript"/>
        </w:rPr>
        <w:t>st</w:t>
      </w:r>
      <w:r w:rsidRPr="00F00BAE">
        <w:rPr>
          <w:sz w:val="22"/>
          <w:szCs w:val="22"/>
        </w:rPr>
        <w:t xml:space="preserve"> with a June 30</w:t>
      </w:r>
      <w:r w:rsidRPr="00F00BAE">
        <w:rPr>
          <w:sz w:val="22"/>
          <w:szCs w:val="22"/>
          <w:vertAlign w:val="superscript"/>
        </w:rPr>
        <w:t>th</w:t>
      </w:r>
      <w:r w:rsidRPr="00F00BAE">
        <w:rPr>
          <w:sz w:val="22"/>
          <w:szCs w:val="22"/>
        </w:rPr>
        <w:t xml:space="preserve"> deadline.</w:t>
      </w:r>
    </w:p>
    <w:p w:rsidR="007A285D" w:rsidRPr="00F00BAE" w:rsidRDefault="007A285D" w:rsidP="007A285D">
      <w:pPr>
        <w:rPr>
          <w:sz w:val="22"/>
          <w:szCs w:val="22"/>
        </w:rPr>
      </w:pPr>
    </w:p>
    <w:p w:rsidR="007A285D" w:rsidRPr="00F00BAE" w:rsidRDefault="00EC6E46" w:rsidP="007A285D">
      <w:pPr>
        <w:rPr>
          <w:sz w:val="22"/>
          <w:szCs w:val="22"/>
        </w:rPr>
      </w:pPr>
      <w:r>
        <w:rPr>
          <w:sz w:val="22"/>
          <w:szCs w:val="22"/>
        </w:rPr>
        <w:t xml:space="preserve">Early </w:t>
      </w:r>
      <w:r w:rsidRPr="00EC6E46">
        <w:rPr>
          <w:sz w:val="22"/>
          <w:szCs w:val="22"/>
        </w:rPr>
        <w:t>t</w:t>
      </w:r>
      <w:r w:rsidR="008B5EBC" w:rsidRPr="00EC6E46">
        <w:rPr>
          <w:sz w:val="22"/>
          <w:szCs w:val="22"/>
        </w:rPr>
        <w:t xml:space="preserve">his spring, I will compile the ID numbers of former students of Public Discourse and Public Speaking.  </w:t>
      </w:r>
      <w:r w:rsidR="008B5EBC" w:rsidRPr="00F00BAE">
        <w:rPr>
          <w:sz w:val="22"/>
          <w:szCs w:val="22"/>
        </w:rPr>
        <w:t>This list will be forwarded to David Menk, wh</w:t>
      </w:r>
      <w:r w:rsidR="004B3C09">
        <w:rPr>
          <w:sz w:val="22"/>
          <w:szCs w:val="22"/>
        </w:rPr>
        <w:t>o can pull</w:t>
      </w:r>
      <w:r w:rsidR="008B5EBC" w:rsidRPr="00F00BAE">
        <w:rPr>
          <w:sz w:val="22"/>
          <w:szCs w:val="22"/>
        </w:rPr>
        <w:t xml:space="preserve"> CSS and other </w:t>
      </w:r>
      <w:r w:rsidR="004B3C09">
        <w:rPr>
          <w:sz w:val="22"/>
          <w:szCs w:val="22"/>
        </w:rPr>
        <w:t xml:space="preserve">relevant CIRP </w:t>
      </w:r>
      <w:r w:rsidR="008B5EBC" w:rsidRPr="00F00BAE">
        <w:rPr>
          <w:sz w:val="22"/>
          <w:szCs w:val="22"/>
        </w:rPr>
        <w:t xml:space="preserve">data by student ID number. </w:t>
      </w:r>
      <w:r w:rsidR="00B602E2" w:rsidRPr="00F00BAE">
        <w:rPr>
          <w:sz w:val="22"/>
          <w:szCs w:val="22"/>
        </w:rPr>
        <w:t>This data should be</w:t>
      </w:r>
      <w:r w:rsidR="001B2F5D">
        <w:rPr>
          <w:sz w:val="22"/>
          <w:szCs w:val="22"/>
        </w:rPr>
        <w:t xml:space="preserve"> available by June, and we will begin analysis</w:t>
      </w:r>
      <w:r w:rsidR="00B602E2" w:rsidRPr="00F00BAE">
        <w:rPr>
          <w:sz w:val="22"/>
          <w:szCs w:val="22"/>
        </w:rPr>
        <w:t>.</w:t>
      </w:r>
    </w:p>
    <w:p w:rsidR="00501A86" w:rsidRPr="00F00BAE" w:rsidRDefault="00501A86" w:rsidP="00501A86">
      <w:pPr>
        <w:rPr>
          <w:sz w:val="22"/>
          <w:szCs w:val="22"/>
        </w:rPr>
      </w:pPr>
    </w:p>
    <w:p w:rsidR="00501A86" w:rsidRPr="00F00BAE" w:rsidRDefault="00B602E2" w:rsidP="00501A86">
      <w:pPr>
        <w:rPr>
          <w:sz w:val="22"/>
          <w:szCs w:val="22"/>
        </w:rPr>
      </w:pPr>
      <w:r w:rsidRPr="00F00BAE">
        <w:rPr>
          <w:sz w:val="22"/>
          <w:szCs w:val="22"/>
        </w:rPr>
        <w:t>In July, we will begin to analyze the alumni survey data.  The quantitative questions will be collated and compared by course—Public Discours</w:t>
      </w:r>
      <w:r w:rsidR="001B2F5D">
        <w:rPr>
          <w:sz w:val="22"/>
          <w:szCs w:val="22"/>
        </w:rPr>
        <w:t>e and Public Speaking students—</w:t>
      </w:r>
      <w:r w:rsidR="00255E73" w:rsidRPr="00F00BAE">
        <w:rPr>
          <w:sz w:val="22"/>
          <w:szCs w:val="22"/>
        </w:rPr>
        <w:t xml:space="preserve">, </w:t>
      </w:r>
      <w:r w:rsidRPr="00F00BAE">
        <w:rPr>
          <w:sz w:val="22"/>
          <w:szCs w:val="22"/>
        </w:rPr>
        <w:t>by</w:t>
      </w:r>
      <w:r w:rsidR="00255E73" w:rsidRPr="00F00BAE">
        <w:rPr>
          <w:sz w:val="22"/>
          <w:szCs w:val="22"/>
        </w:rPr>
        <w:t xml:space="preserve"> </w:t>
      </w:r>
      <w:r w:rsidR="001B2F5D">
        <w:rPr>
          <w:sz w:val="22"/>
          <w:szCs w:val="22"/>
        </w:rPr>
        <w:t xml:space="preserve">major, sex, and </w:t>
      </w:r>
      <w:r w:rsidR="00255E73" w:rsidRPr="00F00BAE">
        <w:rPr>
          <w:sz w:val="22"/>
          <w:szCs w:val="22"/>
        </w:rPr>
        <w:t>year in school when completing Public Discourse.  The qualitative data will be compiled and analyzed using data analysis software.  We will use Dedoose, an Internet-based program that Anna and</w:t>
      </w:r>
      <w:r w:rsidR="00191D0A">
        <w:rPr>
          <w:sz w:val="22"/>
          <w:szCs w:val="22"/>
        </w:rPr>
        <w:t xml:space="preserve"> </w:t>
      </w:r>
      <w:r w:rsidR="00191D0A" w:rsidRPr="00C35349">
        <w:rPr>
          <w:sz w:val="22"/>
          <w:szCs w:val="22"/>
        </w:rPr>
        <w:t>I</w:t>
      </w:r>
      <w:r w:rsidR="00255E73" w:rsidRPr="00F00BAE">
        <w:rPr>
          <w:sz w:val="22"/>
          <w:szCs w:val="22"/>
        </w:rPr>
        <w:t xml:space="preserve"> successfully</w:t>
      </w:r>
      <w:r w:rsidR="001B2F5D">
        <w:rPr>
          <w:sz w:val="22"/>
          <w:szCs w:val="22"/>
        </w:rPr>
        <w:t xml:space="preserve"> used in our work.  Dedoose</w:t>
      </w:r>
      <w:r w:rsidR="00255E73" w:rsidRPr="00F00BAE">
        <w:rPr>
          <w:sz w:val="22"/>
          <w:szCs w:val="22"/>
        </w:rPr>
        <w:t xml:space="preserve"> allow</w:t>
      </w:r>
      <w:r w:rsidR="001B2F5D">
        <w:rPr>
          <w:sz w:val="22"/>
          <w:szCs w:val="22"/>
        </w:rPr>
        <w:t>s the entry and coding of narrative data</w:t>
      </w:r>
      <w:r w:rsidR="00255E73" w:rsidRPr="00F00BAE">
        <w:rPr>
          <w:sz w:val="22"/>
          <w:szCs w:val="22"/>
        </w:rPr>
        <w:t xml:space="preserve">.  We will first read the data and work together to establish a coding scheme, based on the most significant themes in the data.  We will then code the entire data set, gathering quotations for each theme.  This recognized process for qualitative data analysis was used successfully by Anna and I and should </w:t>
      </w:r>
      <w:r w:rsidR="001B2F5D">
        <w:rPr>
          <w:sz w:val="22"/>
          <w:szCs w:val="22"/>
        </w:rPr>
        <w:t xml:space="preserve">work </w:t>
      </w:r>
      <w:r w:rsidR="00255E73" w:rsidRPr="00F00BAE">
        <w:rPr>
          <w:sz w:val="22"/>
          <w:szCs w:val="22"/>
        </w:rPr>
        <w:t>well for this narrative data as well.</w:t>
      </w:r>
      <w:r w:rsidR="00344C87" w:rsidRPr="00F00BAE">
        <w:rPr>
          <w:sz w:val="22"/>
          <w:szCs w:val="22"/>
        </w:rPr>
        <w:t xml:space="preserve">  As we analyze the data, we will craft questions for alumni focus groups to </w:t>
      </w:r>
      <w:r w:rsidR="00C35349" w:rsidRPr="00F00BAE">
        <w:rPr>
          <w:sz w:val="22"/>
          <w:szCs w:val="22"/>
        </w:rPr>
        <w:t xml:space="preserve">more deeply </w:t>
      </w:r>
      <w:r w:rsidR="00344C87" w:rsidRPr="00F00BAE">
        <w:rPr>
          <w:sz w:val="22"/>
          <w:szCs w:val="22"/>
        </w:rPr>
        <w:t xml:space="preserve">explore the themes found in the survey data.  Those focus groups will be held in </w:t>
      </w:r>
      <w:r w:rsidR="004B3C09">
        <w:rPr>
          <w:sz w:val="22"/>
          <w:szCs w:val="22"/>
        </w:rPr>
        <w:t>the</w:t>
      </w:r>
      <w:r w:rsidR="00344C87" w:rsidRPr="00F00BAE">
        <w:rPr>
          <w:sz w:val="22"/>
          <w:szCs w:val="22"/>
        </w:rPr>
        <w:t xml:space="preserve"> fall.  The focus groups will be </w:t>
      </w:r>
      <w:r w:rsidR="00C35349">
        <w:rPr>
          <w:sz w:val="22"/>
          <w:szCs w:val="22"/>
        </w:rPr>
        <w:t xml:space="preserve">audio </w:t>
      </w:r>
      <w:r w:rsidR="00344C87" w:rsidRPr="00F00BAE">
        <w:rPr>
          <w:sz w:val="22"/>
          <w:szCs w:val="22"/>
        </w:rPr>
        <w:t>recorded, transcripts analyzed, and additional data compiled.</w:t>
      </w:r>
    </w:p>
    <w:p w:rsidR="00501A86" w:rsidRPr="00F00BAE" w:rsidRDefault="00501A86" w:rsidP="00501A86">
      <w:pPr>
        <w:rPr>
          <w:sz w:val="22"/>
          <w:szCs w:val="22"/>
        </w:rPr>
      </w:pPr>
    </w:p>
    <w:p w:rsidR="00501A86" w:rsidRPr="00F00BAE" w:rsidRDefault="00255E73" w:rsidP="00501A86">
      <w:pPr>
        <w:rPr>
          <w:b/>
          <w:sz w:val="22"/>
          <w:szCs w:val="22"/>
        </w:rPr>
      </w:pPr>
      <w:r w:rsidRPr="00F00BAE">
        <w:rPr>
          <w:b/>
          <w:sz w:val="22"/>
          <w:szCs w:val="22"/>
        </w:rPr>
        <w:t xml:space="preserve">Clear Statement of Anticipated </w:t>
      </w:r>
      <w:r w:rsidR="00501A86" w:rsidRPr="00F00BAE">
        <w:rPr>
          <w:b/>
          <w:sz w:val="22"/>
          <w:szCs w:val="22"/>
        </w:rPr>
        <w:t>Outcomes:</w:t>
      </w:r>
    </w:p>
    <w:p w:rsidR="00501A86" w:rsidRDefault="00501A86" w:rsidP="00255E73">
      <w:pPr>
        <w:rPr>
          <w:sz w:val="22"/>
          <w:szCs w:val="22"/>
        </w:rPr>
      </w:pPr>
    </w:p>
    <w:p w:rsidR="001B2F5D" w:rsidRDefault="001B2F5D" w:rsidP="00255E73">
      <w:pPr>
        <w:rPr>
          <w:sz w:val="22"/>
          <w:szCs w:val="22"/>
        </w:rPr>
      </w:pPr>
      <w:r>
        <w:rPr>
          <w:sz w:val="22"/>
          <w:szCs w:val="22"/>
        </w:rPr>
        <w:t>The process and the data will yield many potential publications and avenues for presentation.</w:t>
      </w:r>
    </w:p>
    <w:p w:rsidR="001B2F5D" w:rsidRPr="00F00BAE" w:rsidRDefault="001B2F5D" w:rsidP="00255E73">
      <w:pPr>
        <w:rPr>
          <w:sz w:val="22"/>
          <w:szCs w:val="22"/>
        </w:rPr>
      </w:pPr>
    </w:p>
    <w:p w:rsidR="00501A86" w:rsidRPr="00F00BAE" w:rsidRDefault="00501A86" w:rsidP="00501A86">
      <w:pPr>
        <w:pStyle w:val="ListParagraph"/>
        <w:numPr>
          <w:ilvl w:val="0"/>
          <w:numId w:val="2"/>
        </w:numPr>
        <w:rPr>
          <w:sz w:val="22"/>
          <w:szCs w:val="22"/>
        </w:rPr>
      </w:pPr>
      <w:r w:rsidRPr="00F00BAE">
        <w:rPr>
          <w:sz w:val="22"/>
          <w:szCs w:val="22"/>
        </w:rPr>
        <w:t>Papers/guides/presentations.  Based on the outcomes, the data should yield:</w:t>
      </w:r>
    </w:p>
    <w:p w:rsidR="00255E73" w:rsidRPr="00F00BAE" w:rsidRDefault="00255E73" w:rsidP="00501A86">
      <w:pPr>
        <w:pStyle w:val="ListParagraph"/>
        <w:numPr>
          <w:ilvl w:val="1"/>
          <w:numId w:val="2"/>
        </w:numPr>
        <w:rPr>
          <w:sz w:val="22"/>
          <w:szCs w:val="22"/>
        </w:rPr>
      </w:pPr>
      <w:r w:rsidRPr="00F00BAE">
        <w:rPr>
          <w:sz w:val="22"/>
          <w:szCs w:val="22"/>
        </w:rPr>
        <w:t xml:space="preserve">A manuscript for submission to </w:t>
      </w:r>
      <w:r w:rsidRPr="00F00BAE">
        <w:rPr>
          <w:i/>
          <w:sz w:val="22"/>
          <w:szCs w:val="22"/>
        </w:rPr>
        <w:t>Communication Education</w:t>
      </w:r>
      <w:r w:rsidRPr="00F00BAE">
        <w:rPr>
          <w:sz w:val="22"/>
          <w:szCs w:val="22"/>
        </w:rPr>
        <w:t>.  The manuscript will describe the rese</w:t>
      </w:r>
      <w:r w:rsidR="001B2F5D">
        <w:rPr>
          <w:sz w:val="22"/>
          <w:szCs w:val="22"/>
        </w:rPr>
        <w:t xml:space="preserve">arch process and the longitudinal </w:t>
      </w:r>
      <w:r w:rsidRPr="00F00BAE">
        <w:rPr>
          <w:sz w:val="22"/>
          <w:szCs w:val="22"/>
        </w:rPr>
        <w:t>outcomes</w:t>
      </w:r>
      <w:r w:rsidR="001B2F5D">
        <w:rPr>
          <w:sz w:val="22"/>
          <w:szCs w:val="22"/>
        </w:rPr>
        <w:t xml:space="preserve"> of a significant civic engagement experience</w:t>
      </w:r>
      <w:r w:rsidRPr="00F00BAE">
        <w:rPr>
          <w:sz w:val="22"/>
          <w:szCs w:val="22"/>
        </w:rPr>
        <w:t xml:space="preserve">.  </w:t>
      </w:r>
    </w:p>
    <w:p w:rsidR="00501A86" w:rsidRPr="00F00BAE" w:rsidRDefault="00501A86" w:rsidP="00501A86">
      <w:pPr>
        <w:pStyle w:val="ListParagraph"/>
        <w:numPr>
          <w:ilvl w:val="1"/>
          <w:numId w:val="2"/>
        </w:numPr>
        <w:rPr>
          <w:sz w:val="22"/>
          <w:szCs w:val="22"/>
        </w:rPr>
      </w:pPr>
      <w:r w:rsidRPr="00F00BAE">
        <w:rPr>
          <w:sz w:val="22"/>
          <w:szCs w:val="22"/>
        </w:rPr>
        <w:t>A guide to longitudinal assessment of courses utilizing course-based civic engageme</w:t>
      </w:r>
      <w:r w:rsidR="00255E73" w:rsidRPr="00F00BAE">
        <w:rPr>
          <w:sz w:val="22"/>
          <w:szCs w:val="22"/>
        </w:rPr>
        <w:t>nt.  The guide would describe</w:t>
      </w:r>
      <w:r w:rsidRPr="00F00BAE">
        <w:rPr>
          <w:sz w:val="22"/>
          <w:szCs w:val="22"/>
        </w:rPr>
        <w:t xml:space="preserve"> the methods in detail, the application of the methods, results, and drawbacks/benefits of each method.  This guide would be useful for instructors and departments interested in longitudinal assessment of course-based civic engagement, other courses and teaching strategies, and </w:t>
      </w:r>
      <w:r w:rsidRPr="00F00BAE">
        <w:rPr>
          <w:sz w:val="22"/>
          <w:szCs w:val="22"/>
        </w:rPr>
        <w:lastRenderedPageBreak/>
        <w:t>departments and programs as a whole.</w:t>
      </w:r>
      <w:r w:rsidR="00255E73" w:rsidRPr="00F00BAE">
        <w:rPr>
          <w:sz w:val="22"/>
          <w:szCs w:val="22"/>
        </w:rPr>
        <w:t xml:space="preserve"> Potentially the guide could be made available either through the Kettering Foundation or through the NCA Tuning Point Project on developing student learning outcomes (I am a member of this team).</w:t>
      </w:r>
    </w:p>
    <w:p w:rsidR="00501A86" w:rsidRPr="00275498" w:rsidRDefault="00501A86" w:rsidP="00275498">
      <w:pPr>
        <w:pStyle w:val="ListParagraph"/>
        <w:numPr>
          <w:ilvl w:val="1"/>
          <w:numId w:val="2"/>
        </w:numPr>
        <w:rPr>
          <w:sz w:val="22"/>
          <w:szCs w:val="22"/>
        </w:rPr>
      </w:pPr>
      <w:r w:rsidRPr="00F00BAE">
        <w:rPr>
          <w:sz w:val="22"/>
          <w:szCs w:val="22"/>
        </w:rPr>
        <w:t>Individual papers detailing each method, successful use of it, and the benefits and drawbacks of each method.</w:t>
      </w:r>
    </w:p>
    <w:p w:rsidR="00501A86" w:rsidRPr="00F00BAE" w:rsidRDefault="00501A86" w:rsidP="00501A86">
      <w:pPr>
        <w:pStyle w:val="ListParagraph"/>
        <w:numPr>
          <w:ilvl w:val="1"/>
          <w:numId w:val="2"/>
        </w:numPr>
        <w:rPr>
          <w:sz w:val="22"/>
          <w:szCs w:val="22"/>
        </w:rPr>
      </w:pPr>
      <w:r w:rsidRPr="00F00BAE">
        <w:rPr>
          <w:sz w:val="22"/>
          <w:szCs w:val="22"/>
        </w:rPr>
        <w:t>Campus and conference presentations reviewing study methods and providing guidance for others interested in longitudinal assessment.</w:t>
      </w:r>
    </w:p>
    <w:p w:rsidR="00501A86" w:rsidRPr="00F00BAE" w:rsidRDefault="00501A86" w:rsidP="00501A86">
      <w:pPr>
        <w:ind w:left="1080"/>
        <w:rPr>
          <w:sz w:val="22"/>
          <w:szCs w:val="22"/>
        </w:rPr>
      </w:pPr>
    </w:p>
    <w:p w:rsidR="00501A86" w:rsidRPr="00F00BAE" w:rsidRDefault="00255E73" w:rsidP="00501A86">
      <w:pPr>
        <w:pStyle w:val="ListParagraph"/>
        <w:numPr>
          <w:ilvl w:val="0"/>
          <w:numId w:val="2"/>
        </w:numPr>
        <w:rPr>
          <w:sz w:val="22"/>
          <w:szCs w:val="22"/>
        </w:rPr>
      </w:pPr>
      <w:r w:rsidRPr="00F00BAE">
        <w:rPr>
          <w:sz w:val="22"/>
          <w:szCs w:val="22"/>
        </w:rPr>
        <w:t>F</w:t>
      </w:r>
      <w:r w:rsidR="00501A86" w:rsidRPr="00F00BAE">
        <w:rPr>
          <w:sz w:val="22"/>
          <w:szCs w:val="22"/>
        </w:rPr>
        <w:t>uture research</w:t>
      </w:r>
      <w:r w:rsidRPr="00F00BAE">
        <w:rPr>
          <w:sz w:val="22"/>
          <w:szCs w:val="22"/>
        </w:rPr>
        <w:t>/development</w:t>
      </w:r>
      <w:r w:rsidR="00501A86" w:rsidRPr="00F00BAE">
        <w:rPr>
          <w:sz w:val="22"/>
          <w:szCs w:val="22"/>
        </w:rPr>
        <w:t xml:space="preserve">.  </w:t>
      </w:r>
      <w:r w:rsidRPr="00F00BAE">
        <w:rPr>
          <w:sz w:val="22"/>
          <w:szCs w:val="22"/>
        </w:rPr>
        <w:t>Based on the</w:t>
      </w:r>
      <w:r w:rsidR="00275498">
        <w:rPr>
          <w:sz w:val="22"/>
          <w:szCs w:val="22"/>
        </w:rPr>
        <w:t xml:space="preserve"> data, the research should provide</w:t>
      </w:r>
      <w:r w:rsidRPr="00F00BAE">
        <w:rPr>
          <w:sz w:val="22"/>
          <w:szCs w:val="22"/>
        </w:rPr>
        <w:t>:</w:t>
      </w:r>
    </w:p>
    <w:p w:rsidR="00501A86" w:rsidRPr="00F00BAE" w:rsidRDefault="00275498" w:rsidP="00501A86">
      <w:pPr>
        <w:pStyle w:val="ListParagraph"/>
        <w:numPr>
          <w:ilvl w:val="1"/>
          <w:numId w:val="2"/>
        </w:numPr>
        <w:rPr>
          <w:sz w:val="22"/>
          <w:szCs w:val="22"/>
        </w:rPr>
      </w:pPr>
      <w:r>
        <w:rPr>
          <w:sz w:val="22"/>
          <w:szCs w:val="22"/>
        </w:rPr>
        <w:t>A</w:t>
      </w:r>
      <w:r w:rsidR="00501A86" w:rsidRPr="00F00BAE">
        <w:rPr>
          <w:sz w:val="22"/>
          <w:szCs w:val="22"/>
        </w:rPr>
        <w:t xml:space="preserve">n effective alumni survey </w:t>
      </w:r>
      <w:r>
        <w:rPr>
          <w:sz w:val="22"/>
          <w:szCs w:val="22"/>
        </w:rPr>
        <w:t>and ways to use national instruments.</w:t>
      </w:r>
    </w:p>
    <w:p w:rsidR="00501A86" w:rsidRPr="00F00BAE" w:rsidRDefault="00275498" w:rsidP="00501A86">
      <w:pPr>
        <w:pStyle w:val="ListParagraph"/>
        <w:numPr>
          <w:ilvl w:val="1"/>
          <w:numId w:val="2"/>
        </w:numPr>
        <w:rPr>
          <w:sz w:val="22"/>
          <w:szCs w:val="22"/>
        </w:rPr>
      </w:pPr>
      <w:r>
        <w:rPr>
          <w:sz w:val="22"/>
          <w:szCs w:val="22"/>
        </w:rPr>
        <w:t xml:space="preserve">A </w:t>
      </w:r>
      <w:r w:rsidR="00501A86" w:rsidRPr="00F00BAE">
        <w:rPr>
          <w:sz w:val="22"/>
          <w:szCs w:val="22"/>
        </w:rPr>
        <w:t>first step in thinking about an end of the semester assessment instrument to demonstrate student outcomes, an important element in the current higher education climate.</w:t>
      </w:r>
    </w:p>
    <w:p w:rsidR="00255E73" w:rsidRPr="00F00BAE" w:rsidRDefault="00255E73" w:rsidP="00255E73">
      <w:pPr>
        <w:pStyle w:val="ListParagraph"/>
        <w:ind w:left="1440"/>
        <w:rPr>
          <w:sz w:val="22"/>
          <w:szCs w:val="22"/>
        </w:rPr>
      </w:pPr>
    </w:p>
    <w:p w:rsidR="00255E73" w:rsidRPr="00F00BAE" w:rsidRDefault="00255E73" w:rsidP="00255E73">
      <w:pPr>
        <w:pStyle w:val="ListParagraph"/>
        <w:numPr>
          <w:ilvl w:val="0"/>
          <w:numId w:val="2"/>
        </w:numPr>
        <w:rPr>
          <w:sz w:val="22"/>
          <w:szCs w:val="22"/>
        </w:rPr>
      </w:pPr>
      <w:r w:rsidRPr="00F00BAE">
        <w:rPr>
          <w:sz w:val="22"/>
          <w:szCs w:val="22"/>
        </w:rPr>
        <w:t>Assessment data.  The study could potentially yield new ways to use established methods (instruments, surveys, and focus groups) to assess student learning.  The outcomes could guide and deepen college assessment efforts</w:t>
      </w:r>
      <w:r w:rsidR="00275498">
        <w:rPr>
          <w:sz w:val="22"/>
          <w:szCs w:val="22"/>
        </w:rPr>
        <w:t xml:space="preserve"> and inform Public Discourse</w:t>
      </w:r>
      <w:r w:rsidRPr="00F00BAE">
        <w:rPr>
          <w:sz w:val="22"/>
          <w:szCs w:val="22"/>
        </w:rPr>
        <w:t>.</w:t>
      </w:r>
    </w:p>
    <w:p w:rsidR="00255E73" w:rsidRPr="00F00BAE" w:rsidRDefault="00255E73" w:rsidP="00255E73">
      <w:pPr>
        <w:rPr>
          <w:sz w:val="22"/>
          <w:szCs w:val="22"/>
        </w:rPr>
      </w:pPr>
    </w:p>
    <w:p w:rsidR="00255E73" w:rsidRPr="00F00BAE" w:rsidRDefault="008126CE" w:rsidP="00255E73">
      <w:pPr>
        <w:rPr>
          <w:sz w:val="22"/>
          <w:szCs w:val="22"/>
        </w:rPr>
      </w:pPr>
      <w:r w:rsidRPr="00F00BAE">
        <w:rPr>
          <w:sz w:val="22"/>
          <w:szCs w:val="22"/>
        </w:rPr>
        <w:t>This res</w:t>
      </w:r>
      <w:r w:rsidR="00C35349">
        <w:rPr>
          <w:sz w:val="22"/>
          <w:szCs w:val="22"/>
        </w:rPr>
        <w:t>earch can</w:t>
      </w:r>
      <w:r w:rsidRPr="00F00BAE">
        <w:rPr>
          <w:sz w:val="22"/>
          <w:szCs w:val="22"/>
        </w:rPr>
        <w:t xml:space="preserve"> serve as a useful pilot for considering College assessment in light of the Higher Learning Commission repor</w:t>
      </w:r>
      <w:r w:rsidRPr="00C35349">
        <w:rPr>
          <w:sz w:val="22"/>
          <w:szCs w:val="22"/>
        </w:rPr>
        <w:t>t</w:t>
      </w:r>
      <w:r w:rsidR="008224B7" w:rsidRPr="00C35349">
        <w:rPr>
          <w:sz w:val="22"/>
          <w:szCs w:val="22"/>
        </w:rPr>
        <w:t>.</w:t>
      </w:r>
      <w:r w:rsidRPr="00F00BAE">
        <w:rPr>
          <w:sz w:val="22"/>
          <w:szCs w:val="22"/>
        </w:rPr>
        <w:t xml:space="preserve"> </w:t>
      </w:r>
      <w:r w:rsidR="00C35349">
        <w:rPr>
          <w:sz w:val="22"/>
          <w:szCs w:val="22"/>
        </w:rPr>
        <w:t>It will also be a r</w:t>
      </w:r>
      <w:r w:rsidRPr="00F00BAE">
        <w:rPr>
          <w:sz w:val="22"/>
          <w:szCs w:val="22"/>
        </w:rPr>
        <w:t xml:space="preserve">esource for departments and programs as they deepen their assessment efforts, particularly with alumni.  Beyond our campus, this research fills a significant void in assessment and provides insight into methods that can be used for longitudinal program assessment.  </w:t>
      </w:r>
    </w:p>
    <w:p w:rsidR="00501A86" w:rsidRPr="00F00BAE" w:rsidRDefault="00501A86" w:rsidP="00501A86">
      <w:pPr>
        <w:rPr>
          <w:sz w:val="22"/>
          <w:szCs w:val="22"/>
        </w:rPr>
      </w:pPr>
    </w:p>
    <w:p w:rsidR="008126CE" w:rsidRPr="00F00BAE" w:rsidRDefault="008126CE" w:rsidP="008126CE">
      <w:pPr>
        <w:rPr>
          <w:b/>
          <w:sz w:val="22"/>
          <w:szCs w:val="22"/>
        </w:rPr>
      </w:pPr>
      <w:r w:rsidRPr="00F00BAE">
        <w:rPr>
          <w:b/>
          <w:sz w:val="22"/>
          <w:szCs w:val="22"/>
        </w:rPr>
        <w:t>Likely Placement for Publication</w:t>
      </w:r>
    </w:p>
    <w:p w:rsidR="008126CE" w:rsidRPr="00F00BAE" w:rsidRDefault="008126CE" w:rsidP="008126CE">
      <w:pPr>
        <w:rPr>
          <w:b/>
          <w:sz w:val="22"/>
          <w:szCs w:val="22"/>
        </w:rPr>
      </w:pPr>
    </w:p>
    <w:p w:rsidR="008126CE" w:rsidRPr="00F00BAE" w:rsidRDefault="00275498" w:rsidP="008126CE">
      <w:pPr>
        <w:rPr>
          <w:sz w:val="22"/>
          <w:szCs w:val="22"/>
        </w:rPr>
      </w:pPr>
      <w:r>
        <w:rPr>
          <w:sz w:val="22"/>
          <w:szCs w:val="22"/>
        </w:rPr>
        <w:t xml:space="preserve">A manuscript presenting the longitudinal outcomes of Public Discourse will be </w:t>
      </w:r>
      <w:r w:rsidR="00344C87" w:rsidRPr="00F00BAE">
        <w:rPr>
          <w:sz w:val="22"/>
          <w:szCs w:val="22"/>
        </w:rPr>
        <w:t xml:space="preserve">completed by January 2015 </w:t>
      </w:r>
      <w:r w:rsidR="008126CE" w:rsidRPr="00F00BAE">
        <w:rPr>
          <w:sz w:val="22"/>
          <w:szCs w:val="22"/>
        </w:rPr>
        <w:t>and submitted to</w:t>
      </w:r>
      <w:r w:rsidR="00344C87" w:rsidRPr="00F00BAE">
        <w:rPr>
          <w:sz w:val="22"/>
          <w:szCs w:val="22"/>
        </w:rPr>
        <w:t xml:space="preserve"> the National Communication Association for presentation.  Following presentation and revision, the manuscript will be submitted to</w:t>
      </w:r>
      <w:r w:rsidR="008126CE" w:rsidRPr="00F00BAE">
        <w:rPr>
          <w:sz w:val="22"/>
          <w:szCs w:val="22"/>
        </w:rPr>
        <w:t xml:space="preserve"> </w:t>
      </w:r>
      <w:r w:rsidR="008126CE" w:rsidRPr="00F00BAE">
        <w:rPr>
          <w:i/>
          <w:sz w:val="22"/>
          <w:szCs w:val="22"/>
        </w:rPr>
        <w:t>Communication Education</w:t>
      </w:r>
      <w:r w:rsidR="008126CE" w:rsidRPr="00F00BAE">
        <w:rPr>
          <w:sz w:val="22"/>
          <w:szCs w:val="22"/>
        </w:rPr>
        <w:t>, the preeminent education journal</w:t>
      </w:r>
      <w:r w:rsidR="00344C87" w:rsidRPr="00F00BAE">
        <w:rPr>
          <w:sz w:val="22"/>
          <w:szCs w:val="22"/>
        </w:rPr>
        <w:t xml:space="preserve"> in communication studies.  Mariah</w:t>
      </w:r>
      <w:r w:rsidR="008126CE" w:rsidRPr="00F00BAE">
        <w:rPr>
          <w:sz w:val="22"/>
          <w:szCs w:val="22"/>
        </w:rPr>
        <w:t>’s work on this project will position her as the second author on the publication</w:t>
      </w:r>
      <w:r w:rsidR="008126CE" w:rsidRPr="00C35349">
        <w:rPr>
          <w:sz w:val="22"/>
          <w:szCs w:val="22"/>
        </w:rPr>
        <w:t>.  A</w:t>
      </w:r>
      <w:r w:rsidR="008224B7" w:rsidRPr="00C35349">
        <w:rPr>
          <w:sz w:val="22"/>
          <w:szCs w:val="22"/>
        </w:rPr>
        <w:t>n</w:t>
      </w:r>
      <w:r w:rsidR="008126CE" w:rsidRPr="00F00BAE">
        <w:rPr>
          <w:sz w:val="22"/>
          <w:szCs w:val="22"/>
        </w:rPr>
        <w:t xml:space="preserve"> extended project, in which this research is a piece, will be submitted to the Kettering Foundation </w:t>
      </w:r>
      <w:r w:rsidR="00344C87" w:rsidRPr="00F00BAE">
        <w:rPr>
          <w:sz w:val="22"/>
          <w:szCs w:val="22"/>
        </w:rPr>
        <w:t xml:space="preserve">or NCA </w:t>
      </w:r>
      <w:r w:rsidR="008126CE" w:rsidRPr="00F00BAE">
        <w:rPr>
          <w:sz w:val="22"/>
          <w:szCs w:val="22"/>
        </w:rPr>
        <w:t>for publication</w:t>
      </w:r>
      <w:r w:rsidR="00344C87" w:rsidRPr="00F00BAE">
        <w:rPr>
          <w:sz w:val="22"/>
          <w:szCs w:val="22"/>
        </w:rPr>
        <w:t xml:space="preserve"> as an assessment guide for instructors and programs</w:t>
      </w:r>
      <w:r w:rsidR="008126CE" w:rsidRPr="00F00BAE">
        <w:rPr>
          <w:sz w:val="22"/>
          <w:szCs w:val="22"/>
        </w:rPr>
        <w:t>.</w:t>
      </w:r>
    </w:p>
    <w:p w:rsidR="008126CE" w:rsidRPr="00F00BAE" w:rsidRDefault="008126CE" w:rsidP="00501A86">
      <w:pPr>
        <w:rPr>
          <w:b/>
          <w:sz w:val="22"/>
          <w:szCs w:val="22"/>
        </w:rPr>
      </w:pPr>
    </w:p>
    <w:p w:rsidR="00501A86" w:rsidRPr="004B3C09" w:rsidRDefault="008126CE" w:rsidP="00501A86">
      <w:pPr>
        <w:rPr>
          <w:b/>
          <w:sz w:val="22"/>
          <w:szCs w:val="22"/>
        </w:rPr>
      </w:pPr>
      <w:r w:rsidRPr="00F00BAE">
        <w:rPr>
          <w:b/>
          <w:sz w:val="22"/>
          <w:szCs w:val="22"/>
        </w:rPr>
        <w:t>Anticipated Research Completion Date</w:t>
      </w:r>
      <w:r w:rsidR="00501A86" w:rsidRPr="00F00BAE">
        <w:rPr>
          <w:b/>
          <w:sz w:val="22"/>
          <w:szCs w:val="22"/>
        </w:rPr>
        <w:t>:</w:t>
      </w:r>
    </w:p>
    <w:p w:rsidR="008126CE" w:rsidRPr="00F00BAE" w:rsidRDefault="008126CE" w:rsidP="008126CE">
      <w:pPr>
        <w:rPr>
          <w:b/>
          <w:sz w:val="22"/>
          <w:szCs w:val="22"/>
        </w:rPr>
      </w:pPr>
    </w:p>
    <w:p w:rsidR="008126CE" w:rsidRPr="00F00BAE" w:rsidRDefault="008126CE" w:rsidP="008126CE">
      <w:pPr>
        <w:rPr>
          <w:sz w:val="22"/>
          <w:szCs w:val="22"/>
        </w:rPr>
      </w:pPr>
      <w:r w:rsidRPr="00F00BAE">
        <w:rPr>
          <w:sz w:val="22"/>
          <w:szCs w:val="22"/>
        </w:rPr>
        <w:t>The study will begin Spring 2014; preliminary results will be available October 2014.</w:t>
      </w:r>
    </w:p>
    <w:p w:rsidR="008126CE" w:rsidRPr="00F00BAE" w:rsidRDefault="008126CE" w:rsidP="008126CE">
      <w:pPr>
        <w:rPr>
          <w:sz w:val="22"/>
          <w:szCs w:val="22"/>
        </w:rPr>
      </w:pPr>
    </w:p>
    <w:p w:rsidR="008126CE" w:rsidRPr="00F00BAE" w:rsidRDefault="00275498" w:rsidP="008126CE">
      <w:pPr>
        <w:rPr>
          <w:sz w:val="22"/>
          <w:szCs w:val="22"/>
        </w:rPr>
      </w:pPr>
      <w:r>
        <w:rPr>
          <w:sz w:val="22"/>
          <w:szCs w:val="22"/>
        </w:rPr>
        <w:t>March-May</w:t>
      </w:r>
      <w:r w:rsidR="008126CE" w:rsidRPr="00F00BAE">
        <w:rPr>
          <w:sz w:val="22"/>
          <w:szCs w:val="22"/>
        </w:rPr>
        <w:t xml:space="preserve"> 2014:</w:t>
      </w:r>
    </w:p>
    <w:p w:rsidR="008126CE" w:rsidRPr="00275498" w:rsidRDefault="008126CE" w:rsidP="00275498">
      <w:pPr>
        <w:pStyle w:val="ListParagraph"/>
        <w:numPr>
          <w:ilvl w:val="0"/>
          <w:numId w:val="3"/>
        </w:numPr>
        <w:rPr>
          <w:sz w:val="22"/>
          <w:szCs w:val="22"/>
        </w:rPr>
      </w:pPr>
      <w:r w:rsidRPr="00F00BAE">
        <w:rPr>
          <w:sz w:val="22"/>
          <w:szCs w:val="22"/>
        </w:rPr>
        <w:t>The Office of Institutional Res</w:t>
      </w:r>
      <w:r w:rsidR="00275498">
        <w:rPr>
          <w:sz w:val="22"/>
          <w:szCs w:val="22"/>
        </w:rPr>
        <w:t xml:space="preserve">earch will start to compile CIPR data.  </w:t>
      </w:r>
      <w:r w:rsidR="00275498" w:rsidRPr="00275498">
        <w:rPr>
          <w:sz w:val="22"/>
          <w:szCs w:val="22"/>
        </w:rPr>
        <w:t xml:space="preserve">The </w:t>
      </w:r>
      <w:r w:rsidRPr="00275498">
        <w:rPr>
          <w:sz w:val="22"/>
          <w:szCs w:val="22"/>
        </w:rPr>
        <w:t xml:space="preserve">data will be transferred to the researchers for analysis.  </w:t>
      </w:r>
    </w:p>
    <w:p w:rsidR="008126CE" w:rsidRPr="00F00BAE" w:rsidRDefault="008126CE" w:rsidP="008126CE">
      <w:pPr>
        <w:pStyle w:val="ListParagraph"/>
        <w:numPr>
          <w:ilvl w:val="0"/>
          <w:numId w:val="3"/>
        </w:numPr>
        <w:rPr>
          <w:sz w:val="22"/>
          <w:szCs w:val="22"/>
        </w:rPr>
      </w:pPr>
      <w:r w:rsidRPr="00F00BAE">
        <w:rPr>
          <w:sz w:val="22"/>
          <w:szCs w:val="22"/>
        </w:rPr>
        <w:t xml:space="preserve">The alumni survey will be crafted, tested with </w:t>
      </w:r>
      <w:r w:rsidR="00275498">
        <w:rPr>
          <w:sz w:val="22"/>
          <w:szCs w:val="22"/>
        </w:rPr>
        <w:t xml:space="preserve">colleagues and </w:t>
      </w:r>
      <w:r w:rsidRPr="00F00BAE">
        <w:rPr>
          <w:sz w:val="22"/>
          <w:szCs w:val="22"/>
        </w:rPr>
        <w:t xml:space="preserve">student focus groups, and refined.  </w:t>
      </w:r>
    </w:p>
    <w:p w:rsidR="00275498" w:rsidRPr="00F00BAE" w:rsidRDefault="00275498" w:rsidP="00275498">
      <w:pPr>
        <w:pStyle w:val="ListParagraph"/>
        <w:numPr>
          <w:ilvl w:val="0"/>
          <w:numId w:val="3"/>
        </w:numPr>
        <w:rPr>
          <w:sz w:val="22"/>
          <w:szCs w:val="22"/>
        </w:rPr>
      </w:pPr>
      <w:r w:rsidRPr="00F00BAE">
        <w:rPr>
          <w:sz w:val="22"/>
          <w:szCs w:val="22"/>
        </w:rPr>
        <w:t>The alumni survey will be circulated to the Kettering Working Group on Deliberation in the Classroom for feedback and edits.</w:t>
      </w:r>
    </w:p>
    <w:p w:rsidR="008126CE" w:rsidRPr="00F00BAE" w:rsidRDefault="008126CE" w:rsidP="008126CE">
      <w:pPr>
        <w:rPr>
          <w:sz w:val="22"/>
          <w:szCs w:val="22"/>
        </w:rPr>
      </w:pPr>
    </w:p>
    <w:p w:rsidR="008126CE" w:rsidRPr="00F00BAE" w:rsidRDefault="008126CE" w:rsidP="008126CE">
      <w:pPr>
        <w:rPr>
          <w:sz w:val="22"/>
          <w:szCs w:val="22"/>
        </w:rPr>
      </w:pPr>
      <w:r w:rsidRPr="00F00BAE">
        <w:rPr>
          <w:sz w:val="22"/>
          <w:szCs w:val="22"/>
        </w:rPr>
        <w:t>June 2014:</w:t>
      </w:r>
    </w:p>
    <w:p w:rsidR="008126CE" w:rsidRPr="00F00BAE" w:rsidRDefault="008126CE" w:rsidP="008126CE">
      <w:pPr>
        <w:pStyle w:val="ListParagraph"/>
        <w:numPr>
          <w:ilvl w:val="0"/>
          <w:numId w:val="3"/>
        </w:numPr>
        <w:rPr>
          <w:sz w:val="22"/>
          <w:szCs w:val="22"/>
        </w:rPr>
      </w:pPr>
      <w:r w:rsidRPr="00F00BAE">
        <w:rPr>
          <w:sz w:val="22"/>
          <w:szCs w:val="22"/>
        </w:rPr>
        <w:t>The alumni survey will be finalized and sent on June 1</w:t>
      </w:r>
      <w:r w:rsidRPr="00F00BAE">
        <w:rPr>
          <w:sz w:val="22"/>
          <w:szCs w:val="22"/>
          <w:vertAlign w:val="superscript"/>
        </w:rPr>
        <w:t>st</w:t>
      </w:r>
      <w:r w:rsidRPr="00F00BAE">
        <w:rPr>
          <w:sz w:val="22"/>
          <w:szCs w:val="22"/>
        </w:rPr>
        <w:t xml:space="preserve"> with a due date of June 30</w:t>
      </w:r>
      <w:r w:rsidRPr="00F00BAE">
        <w:rPr>
          <w:sz w:val="22"/>
          <w:szCs w:val="22"/>
          <w:vertAlign w:val="superscript"/>
        </w:rPr>
        <w:t>th</w:t>
      </w:r>
      <w:r w:rsidRPr="00F00BAE">
        <w:rPr>
          <w:sz w:val="22"/>
          <w:szCs w:val="22"/>
        </w:rPr>
        <w:t>.</w:t>
      </w:r>
    </w:p>
    <w:p w:rsidR="008126CE" w:rsidRPr="00F00BAE" w:rsidRDefault="008126CE" w:rsidP="008126CE">
      <w:pPr>
        <w:pStyle w:val="ListParagraph"/>
        <w:numPr>
          <w:ilvl w:val="0"/>
          <w:numId w:val="3"/>
        </w:numPr>
        <w:rPr>
          <w:sz w:val="22"/>
          <w:szCs w:val="22"/>
        </w:rPr>
      </w:pPr>
      <w:r w:rsidRPr="00F00BAE">
        <w:rPr>
          <w:sz w:val="22"/>
          <w:szCs w:val="22"/>
        </w:rPr>
        <w:t xml:space="preserve">The analysis of the CSS and other CIRP data will be completed in June. </w:t>
      </w:r>
    </w:p>
    <w:p w:rsidR="008126CE" w:rsidRPr="00F00BAE" w:rsidRDefault="008126CE" w:rsidP="008126CE">
      <w:pPr>
        <w:pStyle w:val="ListParagraph"/>
        <w:rPr>
          <w:sz w:val="22"/>
          <w:szCs w:val="22"/>
        </w:rPr>
      </w:pPr>
    </w:p>
    <w:p w:rsidR="008126CE" w:rsidRPr="00F00BAE" w:rsidRDefault="008126CE" w:rsidP="008126CE">
      <w:pPr>
        <w:rPr>
          <w:sz w:val="22"/>
          <w:szCs w:val="22"/>
        </w:rPr>
      </w:pPr>
      <w:r w:rsidRPr="00F00BAE">
        <w:rPr>
          <w:sz w:val="22"/>
          <w:szCs w:val="22"/>
        </w:rPr>
        <w:t>July 2014:</w:t>
      </w:r>
    </w:p>
    <w:p w:rsidR="008126CE" w:rsidRPr="00F00BAE" w:rsidRDefault="008126CE" w:rsidP="008126CE">
      <w:pPr>
        <w:pStyle w:val="ListParagraph"/>
        <w:numPr>
          <w:ilvl w:val="0"/>
          <w:numId w:val="4"/>
        </w:numPr>
        <w:rPr>
          <w:sz w:val="22"/>
          <w:szCs w:val="22"/>
        </w:rPr>
      </w:pPr>
      <w:r w:rsidRPr="00F00BAE">
        <w:rPr>
          <w:sz w:val="22"/>
          <w:szCs w:val="22"/>
        </w:rPr>
        <w:t>The results of the alumni survey will be compiled.  The numerical and narrative results will be analyzed.  The narrative responses will be coded for main</w:t>
      </w:r>
      <w:r w:rsidR="00275498">
        <w:rPr>
          <w:sz w:val="22"/>
          <w:szCs w:val="22"/>
        </w:rPr>
        <w:t xml:space="preserve"> themes. </w:t>
      </w:r>
    </w:p>
    <w:p w:rsidR="008126CE" w:rsidRPr="00F00BAE" w:rsidRDefault="008126CE" w:rsidP="008126CE">
      <w:pPr>
        <w:pStyle w:val="ListParagraph"/>
        <w:numPr>
          <w:ilvl w:val="0"/>
          <w:numId w:val="4"/>
        </w:numPr>
        <w:rPr>
          <w:sz w:val="22"/>
          <w:szCs w:val="22"/>
        </w:rPr>
      </w:pPr>
      <w:r w:rsidRPr="00F00BAE">
        <w:rPr>
          <w:sz w:val="22"/>
          <w:szCs w:val="22"/>
        </w:rPr>
        <w:t>An outline and graphs will be compiled to discuss preliminary results</w:t>
      </w:r>
      <w:r w:rsidR="00275498">
        <w:rPr>
          <w:sz w:val="22"/>
          <w:szCs w:val="22"/>
        </w:rPr>
        <w:t xml:space="preserve"> of the study</w:t>
      </w:r>
      <w:r w:rsidRPr="00F00BAE">
        <w:rPr>
          <w:sz w:val="22"/>
          <w:szCs w:val="22"/>
        </w:rPr>
        <w:t>.</w:t>
      </w:r>
    </w:p>
    <w:p w:rsidR="008126CE" w:rsidRPr="00F00BAE" w:rsidRDefault="008126CE" w:rsidP="008126CE">
      <w:pPr>
        <w:pStyle w:val="ListParagraph"/>
        <w:rPr>
          <w:sz w:val="22"/>
          <w:szCs w:val="22"/>
        </w:rPr>
      </w:pPr>
    </w:p>
    <w:p w:rsidR="008126CE" w:rsidRPr="00F00BAE" w:rsidRDefault="008126CE" w:rsidP="008126CE">
      <w:pPr>
        <w:rPr>
          <w:sz w:val="22"/>
          <w:szCs w:val="22"/>
        </w:rPr>
      </w:pPr>
      <w:r w:rsidRPr="00F00BAE">
        <w:rPr>
          <w:sz w:val="22"/>
          <w:szCs w:val="22"/>
        </w:rPr>
        <w:t>September 2014</w:t>
      </w:r>
    </w:p>
    <w:p w:rsidR="008126CE" w:rsidRPr="00F00BAE" w:rsidRDefault="008126CE" w:rsidP="008126CE">
      <w:pPr>
        <w:pStyle w:val="ListParagraph"/>
        <w:numPr>
          <w:ilvl w:val="0"/>
          <w:numId w:val="5"/>
        </w:numPr>
        <w:rPr>
          <w:sz w:val="22"/>
          <w:szCs w:val="22"/>
        </w:rPr>
      </w:pPr>
      <w:r w:rsidRPr="00F00BAE">
        <w:rPr>
          <w:sz w:val="22"/>
          <w:szCs w:val="22"/>
        </w:rPr>
        <w:t xml:space="preserve">Alumni focus groups will be convened to clarify and add depth to the data.  </w:t>
      </w:r>
    </w:p>
    <w:p w:rsidR="008126CE" w:rsidRPr="00F00BAE" w:rsidRDefault="008126CE" w:rsidP="008126CE">
      <w:pPr>
        <w:pStyle w:val="ListParagraph"/>
        <w:rPr>
          <w:sz w:val="22"/>
          <w:szCs w:val="22"/>
        </w:rPr>
      </w:pPr>
    </w:p>
    <w:p w:rsidR="008126CE" w:rsidRPr="00F00BAE" w:rsidRDefault="008126CE" w:rsidP="008126CE">
      <w:pPr>
        <w:rPr>
          <w:sz w:val="22"/>
          <w:szCs w:val="22"/>
        </w:rPr>
      </w:pPr>
      <w:r w:rsidRPr="00F00BAE">
        <w:rPr>
          <w:sz w:val="22"/>
          <w:szCs w:val="22"/>
        </w:rPr>
        <w:t>October 2014</w:t>
      </w:r>
    </w:p>
    <w:p w:rsidR="008126CE" w:rsidRPr="00F00BAE" w:rsidRDefault="008126CE" w:rsidP="008126CE">
      <w:pPr>
        <w:pStyle w:val="ListParagraph"/>
        <w:numPr>
          <w:ilvl w:val="0"/>
          <w:numId w:val="5"/>
        </w:numPr>
        <w:rPr>
          <w:sz w:val="22"/>
          <w:szCs w:val="22"/>
        </w:rPr>
      </w:pPr>
      <w:r w:rsidRPr="00F00BAE">
        <w:rPr>
          <w:sz w:val="22"/>
          <w:szCs w:val="22"/>
        </w:rPr>
        <w:t xml:space="preserve">An outline/rough draft describing the process, the results, and next steps will </w:t>
      </w:r>
      <w:r w:rsidR="004B3C09">
        <w:rPr>
          <w:sz w:val="22"/>
          <w:szCs w:val="22"/>
        </w:rPr>
        <w:t>be prepared for the Kettering m</w:t>
      </w:r>
      <w:r w:rsidRPr="00F00BAE">
        <w:rPr>
          <w:sz w:val="22"/>
          <w:szCs w:val="22"/>
        </w:rPr>
        <w:t>eeting on Deliberation in the Classroom.</w:t>
      </w:r>
      <w:r w:rsidR="004B3C09">
        <w:rPr>
          <w:sz w:val="22"/>
          <w:szCs w:val="22"/>
        </w:rPr>
        <w:t xml:space="preserve">  Feedback from this forum will be used to refine the draft and move forward with the manuscript.</w:t>
      </w:r>
    </w:p>
    <w:p w:rsidR="008126CE" w:rsidRPr="00F00BAE" w:rsidRDefault="008126CE" w:rsidP="008126CE">
      <w:pPr>
        <w:pStyle w:val="ListParagraph"/>
        <w:numPr>
          <w:ilvl w:val="0"/>
          <w:numId w:val="5"/>
        </w:numPr>
        <w:rPr>
          <w:sz w:val="22"/>
          <w:szCs w:val="22"/>
        </w:rPr>
      </w:pPr>
      <w:r w:rsidRPr="00F00BAE">
        <w:rPr>
          <w:sz w:val="22"/>
          <w:szCs w:val="22"/>
        </w:rPr>
        <w:t>Based on what the data demonstrate and the feedback, next steps will be determined.  The research would be written up and made available to help other instructors contemplate and embark</w:t>
      </w:r>
      <w:r w:rsidR="00917F4A">
        <w:rPr>
          <w:sz w:val="22"/>
          <w:szCs w:val="22"/>
        </w:rPr>
        <w:t xml:space="preserve"> on longitudinal assessment, and</w:t>
      </w:r>
      <w:r w:rsidRPr="00F00BAE">
        <w:rPr>
          <w:sz w:val="22"/>
          <w:szCs w:val="22"/>
        </w:rPr>
        <w:t xml:space="preserve">, ideally, it would </w:t>
      </w:r>
      <w:r w:rsidR="00917F4A">
        <w:rPr>
          <w:sz w:val="22"/>
          <w:szCs w:val="22"/>
        </w:rPr>
        <w:t xml:space="preserve">be tested with other courses and </w:t>
      </w:r>
      <w:r w:rsidRPr="00F00BAE">
        <w:rPr>
          <w:sz w:val="22"/>
          <w:szCs w:val="22"/>
        </w:rPr>
        <w:t>other institutions.</w:t>
      </w:r>
    </w:p>
    <w:p w:rsidR="00501A86" w:rsidRPr="00F00BAE" w:rsidRDefault="00501A86" w:rsidP="00501A86">
      <w:pPr>
        <w:rPr>
          <w:sz w:val="22"/>
          <w:szCs w:val="22"/>
        </w:rPr>
      </w:pPr>
    </w:p>
    <w:p w:rsidR="00501A86" w:rsidRPr="00F00BAE" w:rsidRDefault="00501A86" w:rsidP="00501A86">
      <w:pPr>
        <w:rPr>
          <w:sz w:val="22"/>
          <w:szCs w:val="22"/>
        </w:rPr>
      </w:pPr>
      <w:r w:rsidRPr="00F00BAE">
        <w:rPr>
          <w:sz w:val="22"/>
          <w:szCs w:val="22"/>
        </w:rPr>
        <w:t>2015 and beyond</w:t>
      </w:r>
    </w:p>
    <w:p w:rsidR="00501A86" w:rsidRPr="00F00BAE" w:rsidRDefault="00501A86" w:rsidP="00501A86">
      <w:pPr>
        <w:pStyle w:val="ListParagraph"/>
        <w:numPr>
          <w:ilvl w:val="0"/>
          <w:numId w:val="6"/>
        </w:numPr>
        <w:rPr>
          <w:sz w:val="22"/>
          <w:szCs w:val="22"/>
        </w:rPr>
      </w:pPr>
      <w:r w:rsidRPr="00F00BAE">
        <w:rPr>
          <w:sz w:val="22"/>
          <w:szCs w:val="22"/>
        </w:rPr>
        <w:t>The full report will be shared with the campus community. Campus presentation on the results and next steps.  Research will be made available to the campus.</w:t>
      </w:r>
    </w:p>
    <w:p w:rsidR="00501A86" w:rsidRPr="00F00BAE" w:rsidRDefault="00501A86" w:rsidP="00501A86">
      <w:pPr>
        <w:pStyle w:val="ListParagraph"/>
        <w:numPr>
          <w:ilvl w:val="0"/>
          <w:numId w:val="6"/>
        </w:numPr>
        <w:rPr>
          <w:sz w:val="22"/>
          <w:szCs w:val="22"/>
        </w:rPr>
      </w:pPr>
      <w:r w:rsidRPr="00F00BAE">
        <w:rPr>
          <w:sz w:val="22"/>
          <w:szCs w:val="22"/>
        </w:rPr>
        <w:t>Manuscripts will be submitted to National Communication Association Convention and civic engagement conferences.</w:t>
      </w:r>
    </w:p>
    <w:p w:rsidR="00BB6EA2" w:rsidRPr="00F00BAE" w:rsidRDefault="00BB6EA2" w:rsidP="0070706C">
      <w:pPr>
        <w:rPr>
          <w:sz w:val="22"/>
          <w:szCs w:val="22"/>
        </w:rPr>
      </w:pPr>
    </w:p>
    <w:p w:rsidR="00FD0873" w:rsidRPr="00F00BAE" w:rsidRDefault="00FD0873" w:rsidP="0070706C">
      <w:pPr>
        <w:rPr>
          <w:sz w:val="22"/>
          <w:szCs w:val="22"/>
        </w:rPr>
      </w:pPr>
    </w:p>
    <w:p w:rsidR="00FD0873" w:rsidRPr="00F00BAE" w:rsidRDefault="00FD0873" w:rsidP="0070706C">
      <w:pPr>
        <w:rPr>
          <w:b/>
          <w:sz w:val="22"/>
          <w:szCs w:val="22"/>
        </w:rPr>
      </w:pPr>
      <w:r w:rsidRPr="00F00BAE">
        <w:rPr>
          <w:b/>
          <w:sz w:val="22"/>
          <w:szCs w:val="22"/>
        </w:rPr>
        <w:t>Collaborators</w:t>
      </w:r>
      <w:r w:rsidR="002824F3" w:rsidRPr="00F00BAE">
        <w:rPr>
          <w:b/>
          <w:sz w:val="22"/>
          <w:szCs w:val="22"/>
        </w:rPr>
        <w:t xml:space="preserve">: </w:t>
      </w:r>
    </w:p>
    <w:p w:rsidR="00FD0873" w:rsidRPr="00F00BAE" w:rsidRDefault="00FD0873" w:rsidP="0070706C">
      <w:pPr>
        <w:rPr>
          <w:b/>
          <w:sz w:val="22"/>
          <w:szCs w:val="22"/>
        </w:rPr>
      </w:pPr>
    </w:p>
    <w:p w:rsidR="00732FD6" w:rsidRPr="00F00BAE" w:rsidRDefault="00732FD6" w:rsidP="0070706C">
      <w:pPr>
        <w:rPr>
          <w:sz w:val="22"/>
          <w:szCs w:val="22"/>
        </w:rPr>
      </w:pPr>
      <w:r w:rsidRPr="00F00BAE">
        <w:rPr>
          <w:sz w:val="22"/>
          <w:szCs w:val="22"/>
        </w:rPr>
        <w:t>Leila Brammer</w:t>
      </w:r>
    </w:p>
    <w:p w:rsidR="00CF7763" w:rsidRPr="00F00BAE" w:rsidRDefault="00CF7763" w:rsidP="0070706C">
      <w:pPr>
        <w:rPr>
          <w:sz w:val="22"/>
          <w:szCs w:val="22"/>
        </w:rPr>
      </w:pPr>
    </w:p>
    <w:p w:rsidR="00BA0E9C" w:rsidRPr="00F00BAE" w:rsidRDefault="00CF7763" w:rsidP="0070706C">
      <w:pPr>
        <w:rPr>
          <w:sz w:val="22"/>
          <w:szCs w:val="22"/>
        </w:rPr>
      </w:pPr>
      <w:r w:rsidRPr="00F00BAE">
        <w:rPr>
          <w:sz w:val="22"/>
          <w:szCs w:val="22"/>
        </w:rPr>
        <w:t>I am a professor in</w:t>
      </w:r>
      <w:r w:rsidR="00732FD6" w:rsidRPr="00F00BAE">
        <w:rPr>
          <w:sz w:val="22"/>
          <w:szCs w:val="22"/>
        </w:rPr>
        <w:t xml:space="preserve"> </w:t>
      </w:r>
      <w:r w:rsidRPr="00F00BAE">
        <w:rPr>
          <w:sz w:val="22"/>
          <w:szCs w:val="22"/>
        </w:rPr>
        <w:t>the Communication S</w:t>
      </w:r>
      <w:r w:rsidR="00732FD6" w:rsidRPr="00F00BAE">
        <w:rPr>
          <w:sz w:val="22"/>
          <w:szCs w:val="22"/>
        </w:rPr>
        <w:t>tudies</w:t>
      </w:r>
      <w:r w:rsidRPr="00F00BAE">
        <w:rPr>
          <w:sz w:val="22"/>
          <w:szCs w:val="22"/>
        </w:rPr>
        <w:t xml:space="preserve"> Department.  After completing my</w:t>
      </w:r>
      <w:r w:rsidR="00732FD6" w:rsidRPr="00F00BAE">
        <w:rPr>
          <w:sz w:val="22"/>
          <w:szCs w:val="22"/>
        </w:rPr>
        <w:t xml:space="preserve"> doctorate at the</w:t>
      </w:r>
      <w:r w:rsidRPr="00F00BAE">
        <w:rPr>
          <w:sz w:val="22"/>
          <w:szCs w:val="22"/>
        </w:rPr>
        <w:t xml:space="preserve"> University of Minnesota, I</w:t>
      </w:r>
      <w:r w:rsidR="00732FD6" w:rsidRPr="00F00BAE">
        <w:rPr>
          <w:sz w:val="22"/>
          <w:szCs w:val="22"/>
        </w:rPr>
        <w:t xml:space="preserve"> published a book and articles on </w:t>
      </w:r>
      <w:r w:rsidR="00713462" w:rsidRPr="00F00BAE">
        <w:rPr>
          <w:sz w:val="22"/>
          <w:szCs w:val="22"/>
        </w:rPr>
        <w:t xml:space="preserve">civic advocacy in social movement, particularly </w:t>
      </w:r>
      <w:r w:rsidR="00732FD6" w:rsidRPr="00F00BAE">
        <w:rPr>
          <w:sz w:val="22"/>
          <w:szCs w:val="22"/>
        </w:rPr>
        <w:t xml:space="preserve">the woman suffrage/women’s rights movement of the nineteenth century.  Since the </w:t>
      </w:r>
      <w:r w:rsidR="00CD288D" w:rsidRPr="00F00BAE">
        <w:rPr>
          <w:sz w:val="22"/>
          <w:szCs w:val="22"/>
        </w:rPr>
        <w:t>development of Public Discourse</w:t>
      </w:r>
      <w:r w:rsidRPr="00F00BAE">
        <w:rPr>
          <w:sz w:val="22"/>
          <w:szCs w:val="22"/>
        </w:rPr>
        <w:t>, I have focused my</w:t>
      </w:r>
      <w:r w:rsidR="00CD288D" w:rsidRPr="00F00BAE">
        <w:rPr>
          <w:sz w:val="22"/>
          <w:szCs w:val="22"/>
        </w:rPr>
        <w:t xml:space="preserve"> scholarship</w:t>
      </w:r>
      <w:r w:rsidR="00732FD6" w:rsidRPr="00F00BAE">
        <w:rPr>
          <w:sz w:val="22"/>
          <w:szCs w:val="22"/>
        </w:rPr>
        <w:t xml:space="preserve"> on examining course outcomes, which </w:t>
      </w:r>
      <w:r w:rsidR="00CD288D" w:rsidRPr="00F00BAE">
        <w:rPr>
          <w:sz w:val="22"/>
          <w:szCs w:val="22"/>
        </w:rPr>
        <w:t xml:space="preserve">I </w:t>
      </w:r>
      <w:r w:rsidRPr="00F00BAE">
        <w:rPr>
          <w:sz w:val="22"/>
          <w:szCs w:val="22"/>
        </w:rPr>
        <w:t xml:space="preserve">have </w:t>
      </w:r>
      <w:r w:rsidR="00732FD6" w:rsidRPr="00F00BAE">
        <w:rPr>
          <w:sz w:val="22"/>
          <w:szCs w:val="22"/>
        </w:rPr>
        <w:t>published and presented</w:t>
      </w:r>
      <w:r w:rsidRPr="00F00BAE">
        <w:rPr>
          <w:sz w:val="22"/>
          <w:szCs w:val="22"/>
        </w:rPr>
        <w:t>, alone and with others,</w:t>
      </w:r>
      <w:r w:rsidR="00732FD6" w:rsidRPr="00F00BAE">
        <w:rPr>
          <w:sz w:val="22"/>
          <w:szCs w:val="22"/>
        </w:rPr>
        <w:t xml:space="preserve"> at national and regional conferences.  As a result of </w:t>
      </w:r>
      <w:r w:rsidR="00CD288D" w:rsidRPr="00F00BAE">
        <w:rPr>
          <w:sz w:val="22"/>
          <w:szCs w:val="22"/>
        </w:rPr>
        <w:t xml:space="preserve">my work with </w:t>
      </w:r>
      <w:r w:rsidRPr="00F00BAE">
        <w:rPr>
          <w:sz w:val="22"/>
          <w:szCs w:val="22"/>
        </w:rPr>
        <w:t xml:space="preserve">Public Discourse, I </w:t>
      </w:r>
      <w:r w:rsidR="00344C87" w:rsidRPr="00F00BAE">
        <w:rPr>
          <w:sz w:val="22"/>
          <w:szCs w:val="22"/>
        </w:rPr>
        <w:t>participated in the Kettering Foundation Deliberation in the Classroom Working Group</w:t>
      </w:r>
      <w:r w:rsidR="00713462" w:rsidRPr="00F00BAE">
        <w:rPr>
          <w:sz w:val="22"/>
          <w:szCs w:val="22"/>
        </w:rPr>
        <w:t xml:space="preserve">, </w:t>
      </w:r>
      <w:r w:rsidR="00917F4A">
        <w:rPr>
          <w:sz w:val="22"/>
          <w:szCs w:val="22"/>
        </w:rPr>
        <w:t>the core</w:t>
      </w:r>
      <w:r w:rsidR="00344C87" w:rsidRPr="00F00BAE">
        <w:rPr>
          <w:sz w:val="22"/>
          <w:szCs w:val="22"/>
        </w:rPr>
        <w:t xml:space="preserve"> civic engagement competencies project at the</w:t>
      </w:r>
      <w:r w:rsidR="00CD288D" w:rsidRPr="00F00BAE">
        <w:rPr>
          <w:sz w:val="22"/>
          <w:szCs w:val="22"/>
        </w:rPr>
        <w:t xml:space="preserve"> Center for</w:t>
      </w:r>
      <w:r w:rsidR="00344C87" w:rsidRPr="00F00BAE">
        <w:rPr>
          <w:sz w:val="22"/>
          <w:szCs w:val="22"/>
        </w:rPr>
        <w:t xml:space="preserve"> Democracy at Merrimack College, and NCA Tuning Point Project to determine learning outcomes for Communication Studies.  </w:t>
      </w:r>
      <w:r w:rsidR="00CD288D" w:rsidRPr="00F00BAE">
        <w:rPr>
          <w:sz w:val="22"/>
          <w:szCs w:val="22"/>
        </w:rPr>
        <w:t xml:space="preserve">As identified by others, </w:t>
      </w:r>
      <w:r w:rsidRPr="00F00BAE">
        <w:rPr>
          <w:sz w:val="22"/>
          <w:szCs w:val="22"/>
        </w:rPr>
        <w:t>t</w:t>
      </w:r>
      <w:r w:rsidR="00CD288D" w:rsidRPr="00F00BAE">
        <w:rPr>
          <w:sz w:val="22"/>
          <w:szCs w:val="22"/>
        </w:rPr>
        <w:t xml:space="preserve">he next step in Public Discourse research </w:t>
      </w:r>
      <w:r w:rsidR="00917F4A">
        <w:rPr>
          <w:sz w:val="22"/>
          <w:szCs w:val="22"/>
        </w:rPr>
        <w:t xml:space="preserve">is to examine </w:t>
      </w:r>
      <w:r w:rsidR="00CD288D" w:rsidRPr="00F00BAE">
        <w:rPr>
          <w:sz w:val="22"/>
          <w:szCs w:val="22"/>
        </w:rPr>
        <w:t xml:space="preserve">the </w:t>
      </w:r>
      <w:r w:rsidR="00344C87" w:rsidRPr="00F00BAE">
        <w:rPr>
          <w:sz w:val="22"/>
          <w:szCs w:val="22"/>
        </w:rPr>
        <w:t xml:space="preserve">longitudinal </w:t>
      </w:r>
      <w:r w:rsidR="00CD288D" w:rsidRPr="00F00BAE">
        <w:rPr>
          <w:sz w:val="22"/>
          <w:szCs w:val="22"/>
        </w:rPr>
        <w:t>outcomes</w:t>
      </w:r>
      <w:r w:rsidRPr="00F00BAE">
        <w:rPr>
          <w:sz w:val="22"/>
          <w:szCs w:val="22"/>
        </w:rPr>
        <w:t xml:space="preserve"> students </w:t>
      </w:r>
      <w:r w:rsidR="00344C87" w:rsidRPr="00F00BAE">
        <w:rPr>
          <w:sz w:val="22"/>
          <w:szCs w:val="22"/>
        </w:rPr>
        <w:t>to</w:t>
      </w:r>
      <w:r w:rsidRPr="00F00BAE">
        <w:rPr>
          <w:sz w:val="22"/>
          <w:szCs w:val="22"/>
        </w:rPr>
        <w:t xml:space="preserve"> inform current conversations about student engagement and civic education.</w:t>
      </w:r>
      <w:r w:rsidR="00CD288D" w:rsidRPr="00F00BAE">
        <w:rPr>
          <w:sz w:val="22"/>
          <w:szCs w:val="22"/>
        </w:rPr>
        <w:t xml:space="preserve"> Most significantly, this project would be significant foundation for my future scholarly work in citizenship and civic education and of utmost importance to the department in our scholarly work, strategic planning, and teaching.  </w:t>
      </w:r>
    </w:p>
    <w:p w:rsidR="00732FD6" w:rsidRPr="00F00BAE" w:rsidRDefault="00732FD6" w:rsidP="0070706C">
      <w:pPr>
        <w:rPr>
          <w:sz w:val="22"/>
          <w:szCs w:val="22"/>
        </w:rPr>
      </w:pPr>
    </w:p>
    <w:p w:rsidR="002824F3" w:rsidRPr="00F00BAE" w:rsidRDefault="00434352" w:rsidP="0070706C">
      <w:pPr>
        <w:rPr>
          <w:sz w:val="22"/>
          <w:szCs w:val="22"/>
        </w:rPr>
      </w:pPr>
      <w:r w:rsidRPr="00F00BAE">
        <w:rPr>
          <w:sz w:val="22"/>
          <w:szCs w:val="22"/>
        </w:rPr>
        <w:t xml:space="preserve">This particular project requires a well-suited collaborator and provides an opportunity for me to engage in student-faculty research. </w:t>
      </w:r>
      <w:r w:rsidR="00344C87" w:rsidRPr="00F00BAE">
        <w:rPr>
          <w:sz w:val="22"/>
          <w:szCs w:val="22"/>
        </w:rPr>
        <w:t xml:space="preserve">In addition to my work with Anna in 2012, </w:t>
      </w:r>
      <w:r w:rsidR="00713462" w:rsidRPr="00F00BAE">
        <w:rPr>
          <w:sz w:val="22"/>
          <w:szCs w:val="22"/>
        </w:rPr>
        <w:t>for</w:t>
      </w:r>
      <w:r w:rsidRPr="00F00BAE">
        <w:rPr>
          <w:sz w:val="22"/>
          <w:szCs w:val="22"/>
        </w:rPr>
        <w:t xml:space="preserve"> two summers</w:t>
      </w:r>
      <w:r w:rsidR="00713462" w:rsidRPr="00F00BAE">
        <w:rPr>
          <w:sz w:val="22"/>
          <w:szCs w:val="22"/>
        </w:rPr>
        <w:t>, I advised students working on project through</w:t>
      </w:r>
      <w:r w:rsidRPr="00F00BAE">
        <w:rPr>
          <w:sz w:val="22"/>
          <w:szCs w:val="22"/>
        </w:rPr>
        <w:t xml:space="preserve"> the former Partners in Schola</w:t>
      </w:r>
      <w:r w:rsidR="00713462" w:rsidRPr="00F00BAE">
        <w:rPr>
          <w:sz w:val="22"/>
          <w:szCs w:val="22"/>
        </w:rPr>
        <w:t>rship program</w:t>
      </w:r>
      <w:r w:rsidRPr="00F00BAE">
        <w:rPr>
          <w:sz w:val="22"/>
          <w:szCs w:val="22"/>
        </w:rPr>
        <w:t xml:space="preserve">. </w:t>
      </w:r>
      <w:r w:rsidR="00344C87" w:rsidRPr="00F00BAE">
        <w:rPr>
          <w:sz w:val="22"/>
          <w:szCs w:val="22"/>
        </w:rPr>
        <w:t xml:space="preserve"> The success of these endeavors and the particular needs of this project provide a foundat</w:t>
      </w:r>
      <w:r w:rsidR="00917F4A">
        <w:rPr>
          <w:sz w:val="22"/>
          <w:szCs w:val="22"/>
        </w:rPr>
        <w:t>ion upon which Mariah and I can</w:t>
      </w:r>
      <w:r w:rsidR="00344C87" w:rsidRPr="00F00BAE">
        <w:rPr>
          <w:sz w:val="22"/>
          <w:szCs w:val="22"/>
        </w:rPr>
        <w:t xml:space="preserve"> complete significant research</w:t>
      </w:r>
      <w:r w:rsidR="00917F4A">
        <w:rPr>
          <w:sz w:val="22"/>
          <w:szCs w:val="22"/>
        </w:rPr>
        <w:t xml:space="preserve"> on a short timeline.  I work quickly and successfully</w:t>
      </w:r>
      <w:r w:rsidR="00344C87" w:rsidRPr="00F00BAE">
        <w:rPr>
          <w:sz w:val="22"/>
          <w:szCs w:val="22"/>
        </w:rPr>
        <w:t>, and, in Mariah, I have an able and dedicated collaborator.</w:t>
      </w:r>
    </w:p>
    <w:p w:rsidR="00344C87" w:rsidRPr="00F00BAE" w:rsidRDefault="00344C87" w:rsidP="0070706C">
      <w:pPr>
        <w:rPr>
          <w:sz w:val="22"/>
          <w:szCs w:val="22"/>
        </w:rPr>
      </w:pPr>
    </w:p>
    <w:p w:rsidR="002824F3" w:rsidRPr="00F00BAE" w:rsidRDefault="00344C87" w:rsidP="0070706C">
      <w:pPr>
        <w:rPr>
          <w:sz w:val="22"/>
          <w:szCs w:val="22"/>
        </w:rPr>
      </w:pPr>
      <w:r w:rsidRPr="00F00BAE">
        <w:rPr>
          <w:sz w:val="22"/>
          <w:szCs w:val="22"/>
        </w:rPr>
        <w:t>Mariah Wika</w:t>
      </w:r>
    </w:p>
    <w:p w:rsidR="008224B7" w:rsidRDefault="008224B7" w:rsidP="002824F3">
      <w:pPr>
        <w:rPr>
          <w:i/>
          <w:sz w:val="22"/>
          <w:szCs w:val="22"/>
        </w:rPr>
      </w:pPr>
    </w:p>
    <w:p w:rsidR="000D53FC" w:rsidRDefault="00411477" w:rsidP="002824F3">
      <w:pPr>
        <w:rPr>
          <w:sz w:val="22"/>
          <w:szCs w:val="22"/>
        </w:rPr>
      </w:pPr>
      <w:r>
        <w:rPr>
          <w:sz w:val="22"/>
          <w:szCs w:val="22"/>
        </w:rPr>
        <w:t xml:space="preserve">As </w:t>
      </w:r>
      <w:r w:rsidR="000D53FC">
        <w:rPr>
          <w:sz w:val="22"/>
          <w:szCs w:val="22"/>
        </w:rPr>
        <w:t>an Honors Communication Studies major with a concentration in Civic Leadership</w:t>
      </w:r>
      <w:r w:rsidR="00835B6A">
        <w:rPr>
          <w:sz w:val="22"/>
          <w:szCs w:val="22"/>
        </w:rPr>
        <w:t xml:space="preserve">, I welcome a chance to continue and deepen my work with Public Discourse. </w:t>
      </w:r>
      <w:r w:rsidR="00D80145">
        <w:rPr>
          <w:sz w:val="22"/>
          <w:szCs w:val="22"/>
        </w:rPr>
        <w:t>Wh</w:t>
      </w:r>
      <w:r>
        <w:rPr>
          <w:sz w:val="22"/>
          <w:szCs w:val="22"/>
        </w:rPr>
        <w:t xml:space="preserve">en I took Public Discourse as a </w:t>
      </w:r>
      <w:r w:rsidR="00835B6A">
        <w:rPr>
          <w:sz w:val="22"/>
          <w:szCs w:val="22"/>
        </w:rPr>
        <w:t>first year student, I was a nervous teenager—</w:t>
      </w:r>
      <w:r w:rsidR="00D80145">
        <w:rPr>
          <w:sz w:val="22"/>
          <w:szCs w:val="22"/>
        </w:rPr>
        <w:t xml:space="preserve">anxious to make phone calls and panic-stricken by the word “speech.” I left the course with </w:t>
      </w:r>
      <w:r w:rsidR="00F0054D">
        <w:rPr>
          <w:sz w:val="22"/>
          <w:szCs w:val="22"/>
        </w:rPr>
        <w:t xml:space="preserve">the knowledge that </w:t>
      </w:r>
      <w:r w:rsidR="00F0054D" w:rsidRPr="00F0054D">
        <w:rPr>
          <w:b/>
          <w:sz w:val="22"/>
          <w:szCs w:val="22"/>
        </w:rPr>
        <w:t>my</w:t>
      </w:r>
      <w:r w:rsidR="002B44AE">
        <w:rPr>
          <w:sz w:val="22"/>
          <w:szCs w:val="22"/>
        </w:rPr>
        <w:t xml:space="preserve"> voice could create </w:t>
      </w:r>
      <w:r w:rsidR="00F0054D">
        <w:rPr>
          <w:sz w:val="22"/>
          <w:szCs w:val="22"/>
        </w:rPr>
        <w:t>positive change.</w:t>
      </w:r>
    </w:p>
    <w:p w:rsidR="000D53FC" w:rsidRDefault="000D53FC" w:rsidP="002824F3">
      <w:pPr>
        <w:rPr>
          <w:i/>
          <w:sz w:val="22"/>
          <w:szCs w:val="22"/>
        </w:rPr>
      </w:pPr>
    </w:p>
    <w:p w:rsidR="000D53FC" w:rsidRPr="00875A38" w:rsidRDefault="006437D9" w:rsidP="000D53FC">
      <w:pPr>
        <w:rPr>
          <w:sz w:val="22"/>
          <w:szCs w:val="22"/>
        </w:rPr>
      </w:pPr>
      <w:r>
        <w:rPr>
          <w:sz w:val="22"/>
          <w:szCs w:val="22"/>
        </w:rPr>
        <w:t>I took Public Discourse in s</w:t>
      </w:r>
      <w:r w:rsidR="000D53FC" w:rsidRPr="00875A38">
        <w:rPr>
          <w:sz w:val="22"/>
          <w:szCs w:val="22"/>
        </w:rPr>
        <w:t>pring of 2012. My mother teaches English as a second language to adult</w:t>
      </w:r>
      <w:r w:rsidR="00835B6A">
        <w:rPr>
          <w:sz w:val="22"/>
          <w:szCs w:val="22"/>
        </w:rPr>
        <w:t>s, so</w:t>
      </w:r>
      <w:r w:rsidR="00536418">
        <w:rPr>
          <w:sz w:val="22"/>
          <w:szCs w:val="22"/>
        </w:rPr>
        <w:t xml:space="preserve"> </w:t>
      </w:r>
      <w:r w:rsidR="002B44AE">
        <w:rPr>
          <w:sz w:val="22"/>
          <w:szCs w:val="22"/>
        </w:rPr>
        <w:t>grew up hearing</w:t>
      </w:r>
      <w:r w:rsidR="000D53FC" w:rsidRPr="00875A38">
        <w:rPr>
          <w:sz w:val="22"/>
          <w:szCs w:val="22"/>
        </w:rPr>
        <w:t xml:space="preserve"> hear incredible stories of the paths that immigrants and refugees take in order to end up in Minnesota. However, I was not convinced that my peers shared my understanding of immigrant narratives. For my project, I worked with an Adult ESL school in Mankato and gathered narratives from 14 students with the hope of sharing these stories with a</w:t>
      </w:r>
      <w:r w:rsidR="00835B6A">
        <w:rPr>
          <w:sz w:val="22"/>
          <w:szCs w:val="22"/>
        </w:rPr>
        <w:t xml:space="preserve"> wide</w:t>
      </w:r>
      <w:r w:rsidR="00536418">
        <w:rPr>
          <w:sz w:val="22"/>
          <w:szCs w:val="22"/>
        </w:rPr>
        <w:t xml:space="preserve">r </w:t>
      </w:r>
      <w:r w:rsidR="000D53FC" w:rsidRPr="00875A38">
        <w:rPr>
          <w:sz w:val="22"/>
          <w:szCs w:val="22"/>
        </w:rPr>
        <w:t xml:space="preserve">audience. While my project did not achieve </w:t>
      </w:r>
      <w:r w:rsidR="00835B6A">
        <w:rPr>
          <w:sz w:val="22"/>
          <w:szCs w:val="22"/>
        </w:rPr>
        <w:t>my anticipated</w:t>
      </w:r>
      <w:r>
        <w:rPr>
          <w:sz w:val="22"/>
          <w:szCs w:val="22"/>
        </w:rPr>
        <w:t xml:space="preserve"> goals</w:t>
      </w:r>
      <w:r w:rsidR="000D53FC" w:rsidRPr="00875A38">
        <w:rPr>
          <w:sz w:val="22"/>
          <w:szCs w:val="22"/>
        </w:rPr>
        <w:t xml:space="preserve">, I learned invaluable techniques for civic engagement. </w:t>
      </w:r>
      <w:r w:rsidR="00835B6A">
        <w:rPr>
          <w:sz w:val="22"/>
          <w:szCs w:val="22"/>
        </w:rPr>
        <w:t>The experience was empowering—</w:t>
      </w:r>
      <w:r w:rsidR="000D53FC" w:rsidRPr="00875A38">
        <w:rPr>
          <w:sz w:val="22"/>
          <w:szCs w:val="22"/>
        </w:rPr>
        <w:t xml:space="preserve">I was </w:t>
      </w:r>
      <w:r w:rsidR="002B44AE">
        <w:rPr>
          <w:sz w:val="22"/>
          <w:szCs w:val="22"/>
        </w:rPr>
        <w:t xml:space="preserve">officially </w:t>
      </w:r>
      <w:r w:rsidR="000D53FC" w:rsidRPr="00875A38">
        <w:rPr>
          <w:sz w:val="22"/>
          <w:szCs w:val="22"/>
        </w:rPr>
        <w:t>hooked on Public Discourse.</w:t>
      </w:r>
    </w:p>
    <w:p w:rsidR="000B2650" w:rsidRPr="00875A38" w:rsidRDefault="000B2650" w:rsidP="000D53FC">
      <w:pPr>
        <w:rPr>
          <w:sz w:val="22"/>
          <w:szCs w:val="22"/>
        </w:rPr>
      </w:pPr>
    </w:p>
    <w:p w:rsidR="000B2650" w:rsidRDefault="006437D9" w:rsidP="000D53FC">
      <w:pPr>
        <w:rPr>
          <w:sz w:val="22"/>
          <w:szCs w:val="22"/>
        </w:rPr>
      </w:pPr>
      <w:r>
        <w:rPr>
          <w:sz w:val="22"/>
          <w:szCs w:val="22"/>
        </w:rPr>
        <w:t>In f</w:t>
      </w:r>
      <w:r w:rsidR="000B2650" w:rsidRPr="00875A38">
        <w:rPr>
          <w:sz w:val="22"/>
          <w:szCs w:val="22"/>
        </w:rPr>
        <w:t>all 2012, I furthered my interest in Public Discourse by wor</w:t>
      </w:r>
      <w:r>
        <w:rPr>
          <w:sz w:val="22"/>
          <w:szCs w:val="22"/>
        </w:rPr>
        <w:t xml:space="preserve">king as a teaching assistant.  </w:t>
      </w:r>
      <w:r w:rsidR="000B2650" w:rsidRPr="00875A38">
        <w:rPr>
          <w:sz w:val="22"/>
          <w:szCs w:val="22"/>
        </w:rPr>
        <w:t>In addition to holding office hours, I began to interact with the Public Discourse text by weaving in student narratives and editing existing sections. I continue to work with the text as an Academic Assistant for the Communication Studies Department. A large focus of my edits has been shaped by student feedback I have gathered about the text. I have explored P</w:t>
      </w:r>
      <w:r w:rsidR="00835B6A">
        <w:rPr>
          <w:sz w:val="22"/>
          <w:szCs w:val="22"/>
        </w:rPr>
        <w:t>ublic Discourse in all facets—</w:t>
      </w:r>
      <w:r w:rsidR="000B2650" w:rsidRPr="00875A38">
        <w:rPr>
          <w:sz w:val="22"/>
          <w:szCs w:val="22"/>
        </w:rPr>
        <w:t>as a student, assistant, and editor. Each perspective enforces my strong understanding of this course</w:t>
      </w:r>
      <w:r w:rsidR="00835B6A">
        <w:rPr>
          <w:sz w:val="22"/>
          <w:szCs w:val="22"/>
        </w:rPr>
        <w:t xml:space="preserve"> and the discipline</w:t>
      </w:r>
      <w:r w:rsidR="000B2650" w:rsidRPr="00875A38">
        <w:rPr>
          <w:sz w:val="22"/>
          <w:szCs w:val="22"/>
        </w:rPr>
        <w:t>. My current knowledge compounded with my enthusiasm to continue to improve Public Discourse</w:t>
      </w:r>
      <w:r w:rsidR="00536418">
        <w:rPr>
          <w:sz w:val="22"/>
          <w:szCs w:val="22"/>
        </w:rPr>
        <w:t xml:space="preserve"> </w:t>
      </w:r>
      <w:r w:rsidR="000B2650" w:rsidRPr="00875A38">
        <w:rPr>
          <w:sz w:val="22"/>
          <w:szCs w:val="22"/>
        </w:rPr>
        <w:t>prepare me well for this project.</w:t>
      </w:r>
    </w:p>
    <w:p w:rsidR="00875A38" w:rsidRDefault="00875A38" w:rsidP="000D53FC">
      <w:pPr>
        <w:rPr>
          <w:sz w:val="22"/>
          <w:szCs w:val="22"/>
        </w:rPr>
      </w:pPr>
    </w:p>
    <w:p w:rsidR="0036483B" w:rsidRDefault="00FE4223" w:rsidP="000D53FC">
      <w:pPr>
        <w:rPr>
          <w:sz w:val="22"/>
          <w:szCs w:val="22"/>
        </w:rPr>
      </w:pPr>
      <w:r>
        <w:rPr>
          <w:sz w:val="22"/>
          <w:szCs w:val="22"/>
        </w:rPr>
        <w:t xml:space="preserve">My research abilities have been shaped through semester-long research projects in courses such as </w:t>
      </w:r>
      <w:r w:rsidRPr="00FE4223">
        <w:rPr>
          <w:i/>
          <w:sz w:val="22"/>
          <w:szCs w:val="22"/>
        </w:rPr>
        <w:t xml:space="preserve">Community Advocacy and Social Change </w:t>
      </w:r>
      <w:r>
        <w:rPr>
          <w:sz w:val="22"/>
          <w:szCs w:val="22"/>
        </w:rPr>
        <w:t xml:space="preserve">and </w:t>
      </w:r>
      <w:r w:rsidRPr="00FE4223">
        <w:rPr>
          <w:i/>
          <w:sz w:val="22"/>
          <w:szCs w:val="22"/>
        </w:rPr>
        <w:t>Communication and Gender</w:t>
      </w:r>
      <w:r>
        <w:rPr>
          <w:sz w:val="22"/>
          <w:szCs w:val="22"/>
        </w:rPr>
        <w:t>. I continue to embrace opportunities to improve my research skills. For example, I will be coding data</w:t>
      </w:r>
      <w:r w:rsidR="002B44AE">
        <w:rPr>
          <w:sz w:val="22"/>
          <w:szCs w:val="22"/>
        </w:rPr>
        <w:t xml:space="preserve"> this semester</w:t>
      </w:r>
      <w:r>
        <w:rPr>
          <w:sz w:val="22"/>
          <w:szCs w:val="22"/>
        </w:rPr>
        <w:t xml:space="preserve"> for </w:t>
      </w:r>
      <w:r w:rsidR="00835B6A">
        <w:rPr>
          <w:sz w:val="22"/>
          <w:szCs w:val="22"/>
        </w:rPr>
        <w:t xml:space="preserve">Professor </w:t>
      </w:r>
      <w:r>
        <w:rPr>
          <w:sz w:val="22"/>
          <w:szCs w:val="22"/>
        </w:rPr>
        <w:t>Sarah Wolter’</w:t>
      </w:r>
      <w:r w:rsidR="002A13E2">
        <w:rPr>
          <w:sz w:val="22"/>
          <w:szCs w:val="22"/>
        </w:rPr>
        <w:t>s research re</w:t>
      </w:r>
      <w:r w:rsidR="002B44AE">
        <w:rPr>
          <w:sz w:val="22"/>
          <w:szCs w:val="22"/>
        </w:rPr>
        <w:t>garding ESPN W</w:t>
      </w:r>
      <w:r w:rsidR="002A13E2">
        <w:rPr>
          <w:sz w:val="22"/>
          <w:szCs w:val="22"/>
        </w:rPr>
        <w:t>omen.</w:t>
      </w:r>
      <w:r w:rsidR="00296E4E">
        <w:rPr>
          <w:sz w:val="22"/>
          <w:szCs w:val="22"/>
        </w:rPr>
        <w:t xml:space="preserve"> I look forward to </w:t>
      </w:r>
      <w:r w:rsidR="00F05A49">
        <w:rPr>
          <w:sz w:val="22"/>
          <w:szCs w:val="22"/>
        </w:rPr>
        <w:t>exploring the technicalities of research with Professor Wolter.</w:t>
      </w:r>
      <w:r w:rsidR="002A13E2">
        <w:rPr>
          <w:sz w:val="22"/>
          <w:szCs w:val="22"/>
        </w:rPr>
        <w:t xml:space="preserve"> </w:t>
      </w:r>
      <w:r w:rsidR="006437D9">
        <w:rPr>
          <w:sz w:val="22"/>
          <w:szCs w:val="22"/>
        </w:rPr>
        <w:t xml:space="preserve"> </w:t>
      </w:r>
      <w:r w:rsidR="002A13E2">
        <w:rPr>
          <w:sz w:val="22"/>
          <w:szCs w:val="22"/>
        </w:rPr>
        <w:t>Professors appreciate my ability to work diligently and engage in my research with persistence and excitement</w:t>
      </w:r>
      <w:r w:rsidR="00835B6A">
        <w:rPr>
          <w:sz w:val="22"/>
          <w:szCs w:val="22"/>
        </w:rPr>
        <w:t xml:space="preserve">, </w:t>
      </w:r>
      <w:r w:rsidR="00536418">
        <w:rPr>
          <w:sz w:val="22"/>
          <w:szCs w:val="22"/>
        </w:rPr>
        <w:t>and the</w:t>
      </w:r>
      <w:r w:rsidR="006437D9">
        <w:rPr>
          <w:sz w:val="22"/>
          <w:szCs w:val="22"/>
        </w:rPr>
        <w:t xml:space="preserve">se efforts have resulted in three consecutive awards for </w:t>
      </w:r>
      <w:r w:rsidR="00825124">
        <w:rPr>
          <w:sz w:val="22"/>
          <w:szCs w:val="22"/>
        </w:rPr>
        <w:t xml:space="preserve">the </w:t>
      </w:r>
      <w:r w:rsidR="00825124" w:rsidRPr="00825124">
        <w:rPr>
          <w:sz w:val="22"/>
          <w:szCs w:val="22"/>
        </w:rPr>
        <w:t>highest cumulative GPA</w:t>
      </w:r>
      <w:r w:rsidR="00825124">
        <w:rPr>
          <w:sz w:val="22"/>
          <w:szCs w:val="22"/>
        </w:rPr>
        <w:t xml:space="preserve"> among my peers.</w:t>
      </w:r>
    </w:p>
    <w:p w:rsidR="006437D9" w:rsidRDefault="006437D9" w:rsidP="000D53FC">
      <w:pPr>
        <w:rPr>
          <w:sz w:val="22"/>
          <w:szCs w:val="22"/>
        </w:rPr>
      </w:pPr>
    </w:p>
    <w:p w:rsidR="0036483B" w:rsidRDefault="0036483B" w:rsidP="000D53FC">
      <w:pPr>
        <w:rPr>
          <w:sz w:val="22"/>
          <w:szCs w:val="22"/>
        </w:rPr>
      </w:pPr>
      <w:r>
        <w:rPr>
          <w:sz w:val="22"/>
          <w:szCs w:val="22"/>
        </w:rPr>
        <w:t xml:space="preserve">When I took Public Discourse as a first year, </w:t>
      </w:r>
      <w:r w:rsidR="006236D3">
        <w:rPr>
          <w:sz w:val="22"/>
          <w:szCs w:val="22"/>
        </w:rPr>
        <w:t xml:space="preserve">the subject matter resonated with me in such a way that </w:t>
      </w:r>
      <w:r>
        <w:rPr>
          <w:sz w:val="22"/>
          <w:szCs w:val="22"/>
        </w:rPr>
        <w:t>it was the first time that I stopped and thought: “I could really be a professor someday.” That idea has certainly matured into a very real goal over the past few year</w:t>
      </w:r>
      <w:r w:rsidR="006236D3">
        <w:rPr>
          <w:sz w:val="22"/>
          <w:szCs w:val="22"/>
        </w:rPr>
        <w:t>s. A significant research project such as this would be an invaluable step in gaining the skills necessary for a</w:t>
      </w:r>
      <w:r w:rsidR="00835B6A">
        <w:rPr>
          <w:sz w:val="22"/>
          <w:szCs w:val="22"/>
        </w:rPr>
        <w:t>n academic</w:t>
      </w:r>
      <w:r w:rsidR="006236D3">
        <w:rPr>
          <w:sz w:val="22"/>
          <w:szCs w:val="22"/>
        </w:rPr>
        <w:t xml:space="preserve"> career. In addition, it would be an honor to contribute to a project that furthers a course that has given me so much hope for advocacy and problem solving in a world that often feels incurably troubled.</w:t>
      </w:r>
    </w:p>
    <w:p w:rsidR="00296E4E" w:rsidRPr="00296E4E" w:rsidRDefault="00296E4E" w:rsidP="000D53FC">
      <w:pPr>
        <w:rPr>
          <w:sz w:val="22"/>
          <w:szCs w:val="22"/>
        </w:rPr>
      </w:pPr>
    </w:p>
    <w:p w:rsidR="002824F3" w:rsidRDefault="002824F3" w:rsidP="002824F3">
      <w:pPr>
        <w:rPr>
          <w:sz w:val="22"/>
          <w:szCs w:val="22"/>
        </w:rPr>
      </w:pPr>
    </w:p>
    <w:p w:rsidR="006236D3" w:rsidRDefault="006236D3" w:rsidP="002824F3">
      <w:pPr>
        <w:rPr>
          <w:sz w:val="22"/>
          <w:szCs w:val="22"/>
        </w:rPr>
      </w:pPr>
    </w:p>
    <w:p w:rsidR="006236D3" w:rsidRDefault="006236D3" w:rsidP="002824F3">
      <w:pPr>
        <w:rPr>
          <w:sz w:val="22"/>
          <w:szCs w:val="22"/>
        </w:rPr>
      </w:pPr>
    </w:p>
    <w:p w:rsidR="006236D3" w:rsidRDefault="006236D3" w:rsidP="002824F3">
      <w:pPr>
        <w:rPr>
          <w:sz w:val="22"/>
          <w:szCs w:val="22"/>
        </w:rPr>
      </w:pPr>
    </w:p>
    <w:p w:rsidR="006236D3" w:rsidRDefault="006236D3" w:rsidP="002824F3">
      <w:pPr>
        <w:rPr>
          <w:sz w:val="22"/>
          <w:szCs w:val="22"/>
        </w:rPr>
      </w:pPr>
    </w:p>
    <w:p w:rsidR="006236D3" w:rsidRDefault="006236D3" w:rsidP="002824F3">
      <w:pPr>
        <w:rPr>
          <w:sz w:val="22"/>
          <w:szCs w:val="22"/>
        </w:rPr>
      </w:pPr>
    </w:p>
    <w:p w:rsidR="006236D3" w:rsidRDefault="006236D3" w:rsidP="002824F3">
      <w:pPr>
        <w:rPr>
          <w:sz w:val="22"/>
          <w:szCs w:val="22"/>
        </w:rPr>
      </w:pPr>
    </w:p>
    <w:p w:rsidR="006236D3" w:rsidRPr="00F00BAE" w:rsidRDefault="006236D3" w:rsidP="002824F3">
      <w:pPr>
        <w:rPr>
          <w:sz w:val="22"/>
          <w:szCs w:val="22"/>
        </w:rPr>
      </w:pPr>
    </w:p>
    <w:p w:rsidR="00FC673C" w:rsidRPr="00F00BAE" w:rsidRDefault="002D060A">
      <w:pPr>
        <w:rPr>
          <w:b/>
          <w:sz w:val="22"/>
          <w:szCs w:val="22"/>
        </w:rPr>
      </w:pPr>
      <w:r w:rsidRPr="00F00BAE">
        <w:rPr>
          <w:b/>
          <w:sz w:val="22"/>
          <w:szCs w:val="22"/>
        </w:rPr>
        <w:lastRenderedPageBreak/>
        <w:t>Public Discourse Publications and Presentations</w:t>
      </w:r>
    </w:p>
    <w:p w:rsidR="00713462" w:rsidRPr="00F00BAE" w:rsidRDefault="00713462">
      <w:pPr>
        <w:rPr>
          <w:sz w:val="22"/>
          <w:szCs w:val="22"/>
        </w:rPr>
      </w:pPr>
    </w:p>
    <w:p w:rsidR="00713462" w:rsidRPr="00F00BAE" w:rsidRDefault="00713462" w:rsidP="00713462">
      <w:pPr>
        <w:pStyle w:val="BodyTextIndent"/>
        <w:ind w:left="0"/>
        <w:rPr>
          <w:color w:val="000000"/>
          <w:sz w:val="22"/>
          <w:szCs w:val="22"/>
        </w:rPr>
      </w:pPr>
      <w:r w:rsidRPr="00F00BAE">
        <w:rPr>
          <w:color w:val="000000"/>
          <w:sz w:val="22"/>
          <w:szCs w:val="22"/>
        </w:rPr>
        <w:t>Publications:</w:t>
      </w:r>
    </w:p>
    <w:p w:rsidR="00713462" w:rsidRPr="00F00BAE" w:rsidRDefault="00713462" w:rsidP="00713462">
      <w:pPr>
        <w:pStyle w:val="BodyTextIndent"/>
        <w:ind w:left="0" w:firstLine="288"/>
        <w:rPr>
          <w:color w:val="000000"/>
          <w:sz w:val="22"/>
          <w:szCs w:val="22"/>
        </w:rPr>
      </w:pPr>
      <w:r w:rsidRPr="00F00BAE">
        <w:rPr>
          <w:color w:val="000000"/>
          <w:sz w:val="22"/>
          <w:szCs w:val="22"/>
        </w:rPr>
        <w:t>Brammer, L. R. &amp; Wolter, S. M. (2008).</w:t>
      </w:r>
      <w:r w:rsidRPr="00F00BAE">
        <w:rPr>
          <w:i/>
          <w:color w:val="000000"/>
          <w:sz w:val="22"/>
          <w:szCs w:val="22"/>
        </w:rPr>
        <w:t xml:space="preserve"> </w:t>
      </w:r>
      <w:r w:rsidRPr="00F00BAE">
        <w:rPr>
          <w:rFonts w:cs="Arial"/>
          <w:sz w:val="22"/>
          <w:szCs w:val="22"/>
        </w:rPr>
        <w:t>Public Discourse: Experiential Training for Citizenship</w:t>
      </w:r>
      <w:r w:rsidRPr="00F00BAE">
        <w:rPr>
          <w:rFonts w:cs="Arial"/>
          <w:i/>
          <w:sz w:val="22"/>
          <w:szCs w:val="22"/>
        </w:rPr>
        <w:t>.  International Journal of Learning, 15</w:t>
      </w:r>
      <w:r w:rsidRPr="00F00BAE">
        <w:rPr>
          <w:rFonts w:cs="Arial"/>
          <w:sz w:val="22"/>
          <w:szCs w:val="22"/>
        </w:rPr>
        <w:t xml:space="preserve"> (7), </w:t>
      </w:r>
      <w:r w:rsidRPr="00F00BAE">
        <w:rPr>
          <w:sz w:val="22"/>
          <w:szCs w:val="22"/>
        </w:rPr>
        <w:t>307-314.</w:t>
      </w:r>
      <w:r w:rsidRPr="00F00BAE">
        <w:rPr>
          <w:color w:val="000000"/>
          <w:sz w:val="22"/>
          <w:szCs w:val="22"/>
        </w:rPr>
        <w:t xml:space="preserve"> </w:t>
      </w:r>
    </w:p>
    <w:p w:rsidR="00713462" w:rsidRPr="00F00BAE" w:rsidRDefault="00713462" w:rsidP="00713462">
      <w:pPr>
        <w:autoSpaceDE w:val="0"/>
        <w:autoSpaceDN w:val="0"/>
        <w:adjustRightInd w:val="0"/>
        <w:spacing w:after="120"/>
        <w:ind w:firstLine="288"/>
        <w:rPr>
          <w:sz w:val="22"/>
          <w:szCs w:val="22"/>
        </w:rPr>
      </w:pPr>
      <w:r w:rsidRPr="00F00BAE">
        <w:rPr>
          <w:color w:val="000000"/>
          <w:sz w:val="22"/>
          <w:szCs w:val="22"/>
        </w:rPr>
        <w:t xml:space="preserve">Brammer, L. R. &amp; Wolter, S. M. (2009). </w:t>
      </w:r>
      <w:r w:rsidRPr="00F00BAE">
        <w:rPr>
          <w:sz w:val="22"/>
          <w:szCs w:val="22"/>
        </w:rPr>
        <w:t xml:space="preserve">Individual Community Action: An Experiential Practicum in Argument and Civic Engagement.  In D. Worley (Ed.), </w:t>
      </w:r>
      <w:r w:rsidRPr="00F00BAE">
        <w:rPr>
          <w:i/>
          <w:sz w:val="22"/>
          <w:szCs w:val="22"/>
        </w:rPr>
        <w:t>Best practices in experiential and service learning in communication</w:t>
      </w:r>
      <w:r w:rsidRPr="00F00BAE">
        <w:rPr>
          <w:sz w:val="22"/>
          <w:szCs w:val="22"/>
        </w:rPr>
        <w:t>.</w:t>
      </w:r>
    </w:p>
    <w:p w:rsidR="00713462" w:rsidRPr="00F00BAE" w:rsidRDefault="00713462" w:rsidP="00713462">
      <w:pPr>
        <w:pStyle w:val="BodyTextIndent"/>
        <w:ind w:left="0" w:firstLine="288"/>
        <w:rPr>
          <w:color w:val="000000"/>
          <w:sz w:val="22"/>
          <w:szCs w:val="22"/>
        </w:rPr>
      </w:pPr>
      <w:r w:rsidRPr="00F00BAE">
        <w:rPr>
          <w:color w:val="000000"/>
          <w:sz w:val="22"/>
          <w:szCs w:val="22"/>
        </w:rPr>
        <w:t xml:space="preserve">Brammer, L. R. &amp; Wolter, S. M. (2009). Engaged citizenship:  Public Discourse as a Foundational Communication Course.  </w:t>
      </w:r>
      <w:r w:rsidRPr="00F00BAE">
        <w:rPr>
          <w:i/>
          <w:sz w:val="22"/>
          <w:szCs w:val="22"/>
        </w:rPr>
        <w:t xml:space="preserve">Journal of Community Engagement and Higher Education, 1, </w:t>
      </w:r>
      <w:r w:rsidRPr="00F00BAE">
        <w:rPr>
          <w:sz w:val="22"/>
          <w:szCs w:val="22"/>
        </w:rPr>
        <w:t>(1).</w:t>
      </w:r>
    </w:p>
    <w:p w:rsidR="00F00BAE" w:rsidRPr="00F00BAE" w:rsidRDefault="00F00BAE" w:rsidP="00F00BAE">
      <w:pPr>
        <w:ind w:firstLine="288"/>
        <w:rPr>
          <w:sz w:val="22"/>
          <w:szCs w:val="22"/>
        </w:rPr>
      </w:pPr>
      <w:r w:rsidRPr="00F00BAE">
        <w:rPr>
          <w:color w:val="000000"/>
          <w:sz w:val="22"/>
          <w:szCs w:val="22"/>
          <w:shd w:val="clear" w:color="auto" w:fill="FFFFFF"/>
        </w:rPr>
        <w:t>Brammer, Leila R. and Morton, Anna (2014) "Course-based Civic Engagement: Understanding Student Perspectives and Outcomes," </w:t>
      </w:r>
      <w:r w:rsidRPr="00F00BAE">
        <w:rPr>
          <w:i/>
          <w:iCs/>
          <w:color w:val="000000"/>
          <w:sz w:val="22"/>
          <w:szCs w:val="22"/>
          <w:bdr w:val="none" w:sz="0" w:space="0" w:color="auto" w:frame="1"/>
          <w:shd w:val="clear" w:color="auto" w:fill="FFFFFF"/>
        </w:rPr>
        <w:t>International Journal for the Scholarship of Teaching and Learning</w:t>
      </w:r>
      <w:r w:rsidR="00917F4A">
        <w:rPr>
          <w:color w:val="000000"/>
          <w:sz w:val="22"/>
          <w:szCs w:val="22"/>
          <w:shd w:val="clear" w:color="auto" w:fill="FFFFFF"/>
        </w:rPr>
        <w:t xml:space="preserve">, </w:t>
      </w:r>
      <w:r w:rsidRPr="00917F4A">
        <w:rPr>
          <w:i/>
          <w:color w:val="000000"/>
          <w:sz w:val="22"/>
          <w:szCs w:val="22"/>
          <w:shd w:val="clear" w:color="auto" w:fill="FFFFFF"/>
        </w:rPr>
        <w:t>8</w:t>
      </w:r>
      <w:r w:rsidR="00917F4A">
        <w:rPr>
          <w:color w:val="000000"/>
          <w:sz w:val="22"/>
          <w:szCs w:val="22"/>
          <w:shd w:val="clear" w:color="auto" w:fill="FFFFFF"/>
        </w:rPr>
        <w:t xml:space="preserve"> (</w:t>
      </w:r>
      <w:r w:rsidRPr="00F00BAE">
        <w:rPr>
          <w:color w:val="000000"/>
          <w:sz w:val="22"/>
          <w:szCs w:val="22"/>
          <w:shd w:val="clear" w:color="auto" w:fill="FFFFFF"/>
        </w:rPr>
        <w:t>1</w:t>
      </w:r>
      <w:r w:rsidR="00917F4A">
        <w:rPr>
          <w:color w:val="000000"/>
          <w:sz w:val="22"/>
          <w:szCs w:val="22"/>
          <w:shd w:val="clear" w:color="auto" w:fill="FFFFFF"/>
        </w:rPr>
        <w:t>)</w:t>
      </w:r>
      <w:r w:rsidRPr="00F00BAE">
        <w:rPr>
          <w:color w:val="000000"/>
          <w:sz w:val="22"/>
          <w:szCs w:val="22"/>
          <w:shd w:val="clear" w:color="auto" w:fill="FFFFFF"/>
        </w:rPr>
        <w:t>. </w:t>
      </w:r>
      <w:r w:rsidR="00917F4A">
        <w:rPr>
          <w:color w:val="000000"/>
          <w:sz w:val="22"/>
          <w:szCs w:val="22"/>
        </w:rPr>
        <w:t xml:space="preserve"> </w:t>
      </w:r>
      <w:r w:rsidRPr="00F00BAE">
        <w:rPr>
          <w:color w:val="000000"/>
          <w:sz w:val="22"/>
          <w:szCs w:val="22"/>
          <w:shd w:val="clear" w:color="auto" w:fill="FFFFFF"/>
        </w:rPr>
        <w:t>Available at: http://digitalcommons.georgiasouthern.edu/ij-sotl/vol8/iss1/9</w:t>
      </w:r>
    </w:p>
    <w:p w:rsidR="00713462" w:rsidRPr="00F00BAE" w:rsidRDefault="00713462" w:rsidP="00713462">
      <w:pPr>
        <w:pStyle w:val="PlainText"/>
        <w:rPr>
          <w:rFonts w:ascii="Times New Roman" w:hAnsi="Times New Roman" w:cs="Times New Roman"/>
          <w:color w:val="000000"/>
          <w:sz w:val="22"/>
          <w:szCs w:val="22"/>
        </w:rPr>
      </w:pPr>
    </w:p>
    <w:p w:rsidR="00713462" w:rsidRPr="00F00BAE" w:rsidRDefault="00713462" w:rsidP="00713462">
      <w:pPr>
        <w:pStyle w:val="PlainText"/>
        <w:rPr>
          <w:rFonts w:ascii="Times New Roman" w:hAnsi="Times New Roman" w:cs="Times New Roman"/>
          <w:color w:val="000000"/>
          <w:sz w:val="22"/>
          <w:szCs w:val="22"/>
        </w:rPr>
      </w:pPr>
      <w:r w:rsidRPr="00F00BAE">
        <w:rPr>
          <w:rFonts w:ascii="Times New Roman" w:hAnsi="Times New Roman" w:cs="Times New Roman"/>
          <w:color w:val="000000"/>
          <w:sz w:val="22"/>
          <w:szCs w:val="22"/>
        </w:rPr>
        <w:t>Presentations:</w:t>
      </w:r>
    </w:p>
    <w:p w:rsidR="00713462" w:rsidRPr="00F00BAE" w:rsidRDefault="00713462" w:rsidP="00713462">
      <w:pPr>
        <w:pStyle w:val="PlainText"/>
        <w:rPr>
          <w:rFonts w:ascii="Times New Roman" w:hAnsi="Times New Roman" w:cs="Times New Roman"/>
          <w:color w:val="000000"/>
          <w:sz w:val="22"/>
          <w:szCs w:val="22"/>
        </w:rPr>
      </w:pPr>
    </w:p>
    <w:p w:rsidR="00F00BAE" w:rsidRPr="00F00BAE" w:rsidRDefault="00F00BAE" w:rsidP="00F00BAE">
      <w:pPr>
        <w:pStyle w:val="PlainText"/>
        <w:spacing w:after="120"/>
        <w:ind w:firstLine="288"/>
        <w:rPr>
          <w:rFonts w:ascii="Times New Roman" w:hAnsi="Times New Roman" w:cs="Times New Roman"/>
          <w:color w:val="000000"/>
          <w:sz w:val="22"/>
          <w:szCs w:val="22"/>
        </w:rPr>
      </w:pPr>
      <w:r w:rsidRPr="00F00BAE">
        <w:rPr>
          <w:rFonts w:ascii="Times New Roman" w:hAnsi="Times New Roman" w:cs="Times New Roman"/>
          <w:color w:val="000000"/>
          <w:sz w:val="22"/>
          <w:szCs w:val="22"/>
        </w:rPr>
        <w:t>Brammer, L.R. &amp; Morton, A.  Course-based Civic Engagement:  Understanding Student Perceptions and Outcomes.  Presented at the International Scholarship of Teaching and Learning Symposium, Mt. Royal University, Banff, Ontario, Canada, November 2012.</w:t>
      </w:r>
    </w:p>
    <w:p w:rsidR="00F00BAE" w:rsidRPr="00F00BAE" w:rsidRDefault="00F00BAE" w:rsidP="00F00BAE">
      <w:pPr>
        <w:pStyle w:val="PlainText"/>
        <w:spacing w:after="120"/>
        <w:ind w:firstLine="288"/>
        <w:rPr>
          <w:rFonts w:ascii="Times New Roman" w:hAnsi="Times New Roman" w:cs="Times New Roman"/>
          <w:color w:val="000000"/>
          <w:sz w:val="22"/>
          <w:szCs w:val="22"/>
        </w:rPr>
      </w:pPr>
      <w:r w:rsidRPr="00F00BAE">
        <w:rPr>
          <w:rFonts w:ascii="Times New Roman" w:hAnsi="Times New Roman" w:cs="Times New Roman"/>
          <w:color w:val="000000"/>
          <w:sz w:val="22"/>
          <w:szCs w:val="22"/>
        </w:rPr>
        <w:t>Brammer, L.R. &amp; Morton, A.  Exploring Longitudinal and Alumni Data.  A Roundtable facilitated at the International Scholarship of Teaching and Learning Symposium, Mt. Royal University, Banff, Ontario, Canada, November 2012.</w:t>
      </w:r>
    </w:p>
    <w:p w:rsidR="00F00BAE" w:rsidRPr="00F00BAE" w:rsidRDefault="00F00BAE" w:rsidP="00F00BAE">
      <w:pPr>
        <w:pStyle w:val="PlainText"/>
        <w:spacing w:after="120"/>
        <w:ind w:firstLine="288"/>
        <w:rPr>
          <w:rFonts w:ascii="Times New Roman" w:hAnsi="Times New Roman" w:cs="Times New Roman"/>
          <w:color w:val="000000"/>
          <w:sz w:val="22"/>
          <w:szCs w:val="22"/>
        </w:rPr>
      </w:pPr>
      <w:r w:rsidRPr="00F00BAE">
        <w:rPr>
          <w:rFonts w:ascii="Times New Roman" w:hAnsi="Times New Roman" w:cs="Times New Roman"/>
          <w:color w:val="000000"/>
          <w:sz w:val="22"/>
          <w:szCs w:val="22"/>
        </w:rPr>
        <w:t>Brammer, L. R., et al.  Core Competencies in Civic Engagement (series of three presentations).  Presented at Future of Community Engagement in Higher Education Third Annual Research Institute, Andover, MA, June 2012.</w:t>
      </w:r>
    </w:p>
    <w:p w:rsidR="00F00BAE" w:rsidRPr="00F00BAE" w:rsidRDefault="00F00BAE" w:rsidP="00F00BAE">
      <w:pPr>
        <w:pStyle w:val="PlainText"/>
        <w:spacing w:after="120"/>
        <w:ind w:firstLine="288"/>
        <w:rPr>
          <w:rFonts w:ascii="Times New Roman" w:hAnsi="Times New Roman" w:cs="Times New Roman"/>
          <w:color w:val="000000"/>
          <w:sz w:val="22"/>
          <w:szCs w:val="22"/>
        </w:rPr>
      </w:pPr>
      <w:r w:rsidRPr="00F00BAE">
        <w:rPr>
          <w:rFonts w:ascii="Times New Roman" w:hAnsi="Times New Roman" w:cs="Times New Roman"/>
          <w:color w:val="000000"/>
          <w:sz w:val="22"/>
          <w:szCs w:val="22"/>
        </w:rPr>
        <w:t>Brammer, L.R. Public Discourse:  A Foundational Civic Engagement Experience.  Presented at Future of Community Engagement in Higher Education Third Annual Research Institute, Andover, MA, June 2012.</w:t>
      </w:r>
    </w:p>
    <w:p w:rsidR="00713462" w:rsidRPr="00F00BAE" w:rsidRDefault="00713462" w:rsidP="00713462">
      <w:pPr>
        <w:pStyle w:val="PlainText"/>
        <w:ind w:firstLine="288"/>
        <w:rPr>
          <w:rFonts w:ascii="Times New Roman" w:hAnsi="Times New Roman" w:cs="Times New Roman"/>
          <w:sz w:val="22"/>
          <w:szCs w:val="22"/>
        </w:rPr>
      </w:pPr>
      <w:r w:rsidRPr="00F00BAE">
        <w:rPr>
          <w:rFonts w:ascii="Times New Roman" w:hAnsi="Times New Roman" w:cs="Times New Roman"/>
          <w:color w:val="000000"/>
          <w:sz w:val="22"/>
          <w:szCs w:val="22"/>
        </w:rPr>
        <w:t xml:space="preserve">Brammer, L. R. &amp; Lang, M. J.  </w:t>
      </w:r>
      <w:r w:rsidRPr="00F00BAE">
        <w:rPr>
          <w:rFonts w:ascii="Times New Roman" w:hAnsi="Times New Roman" w:cs="Times New Roman"/>
          <w:sz w:val="22"/>
          <w:szCs w:val="22"/>
        </w:rPr>
        <w:t>Reimagining Curriculum: Educating Students for Personal and Social Responsibility.  Presented at the AAC&amp;U Arts &amp; Humanities Conference: Toward a Flourishing State, Providence, RI, November 2011.</w:t>
      </w:r>
    </w:p>
    <w:p w:rsidR="00713462" w:rsidRPr="00F00BAE" w:rsidRDefault="00713462" w:rsidP="00713462">
      <w:pPr>
        <w:pStyle w:val="PlainText"/>
        <w:rPr>
          <w:rFonts w:ascii="Times New Roman" w:hAnsi="Times New Roman" w:cs="Times New Roman"/>
          <w:color w:val="000000"/>
          <w:sz w:val="22"/>
          <w:szCs w:val="22"/>
        </w:rPr>
      </w:pPr>
    </w:p>
    <w:p w:rsidR="00713462" w:rsidRPr="00F00BAE" w:rsidRDefault="00713462" w:rsidP="00713462">
      <w:pPr>
        <w:spacing w:after="120"/>
        <w:ind w:firstLine="288"/>
        <w:rPr>
          <w:color w:val="000000"/>
          <w:sz w:val="22"/>
          <w:szCs w:val="22"/>
        </w:rPr>
      </w:pPr>
      <w:r w:rsidRPr="00F00BAE">
        <w:rPr>
          <w:color w:val="000000"/>
          <w:sz w:val="22"/>
          <w:szCs w:val="22"/>
        </w:rPr>
        <w:t xml:space="preserve">Brammer, L. R., Wolter, S. M., &amp; Lang, M. L. </w:t>
      </w:r>
      <w:r w:rsidRPr="00F00BAE">
        <w:rPr>
          <w:sz w:val="22"/>
          <w:szCs w:val="22"/>
        </w:rPr>
        <w:t>Engagement as Transformative Education:  Developing Voice in a Semester-Long Practicum in Citizenship.  Presented at the National Communication Association Annual Convention, New Orleans, LA, November 2011.</w:t>
      </w:r>
    </w:p>
    <w:p w:rsidR="00713462" w:rsidRPr="00F00BAE" w:rsidRDefault="00713462" w:rsidP="00713462">
      <w:pPr>
        <w:spacing w:after="120"/>
        <w:ind w:firstLine="288"/>
        <w:rPr>
          <w:color w:val="000000"/>
          <w:sz w:val="22"/>
          <w:szCs w:val="22"/>
        </w:rPr>
      </w:pPr>
      <w:r w:rsidRPr="00F00BAE">
        <w:rPr>
          <w:color w:val="000000"/>
          <w:sz w:val="22"/>
          <w:szCs w:val="22"/>
        </w:rPr>
        <w:t>Brammer, L  R. Reinvigorating Democratic Education: Public Discourse and Engaged Citizenship.  Presented at the American Democracy Project National Meeting, Orlando, FL, June 2010.</w:t>
      </w:r>
    </w:p>
    <w:p w:rsidR="00713462" w:rsidRPr="00F00BAE" w:rsidRDefault="00713462" w:rsidP="00713462">
      <w:pPr>
        <w:spacing w:after="120"/>
        <w:ind w:firstLine="288"/>
        <w:rPr>
          <w:color w:val="000000"/>
          <w:sz w:val="22"/>
          <w:szCs w:val="22"/>
        </w:rPr>
      </w:pPr>
      <w:r w:rsidRPr="00F00BAE">
        <w:rPr>
          <w:color w:val="000000"/>
          <w:sz w:val="22"/>
          <w:szCs w:val="22"/>
        </w:rPr>
        <w:t>Brammer, L. R. &amp; Wolter, S. M.  Leadership Development in Communication Studies Courses.  Presented at the annual convention of the National Communication Association Convention, San Francisco, CA, November 2010.</w:t>
      </w:r>
    </w:p>
    <w:p w:rsidR="00713462" w:rsidRPr="00F00BAE" w:rsidRDefault="00713462" w:rsidP="00713462">
      <w:pPr>
        <w:spacing w:after="120"/>
        <w:ind w:firstLine="288"/>
        <w:rPr>
          <w:color w:val="000000"/>
          <w:sz w:val="22"/>
          <w:szCs w:val="22"/>
        </w:rPr>
      </w:pPr>
      <w:r w:rsidRPr="00F00BAE">
        <w:rPr>
          <w:color w:val="000000"/>
          <w:sz w:val="22"/>
          <w:szCs w:val="22"/>
        </w:rPr>
        <w:t>Brammer, L. R. &amp; Wolter, S. M.  Communication Apprehension and Public Discourse.  Presented at the annual convention of the National Communication Association Convention, San Francisco, CA, November 2010</w:t>
      </w:r>
      <w:r w:rsidRPr="00F00BAE">
        <w:rPr>
          <w:sz w:val="22"/>
          <w:szCs w:val="22"/>
        </w:rPr>
        <w:t>.</w:t>
      </w:r>
    </w:p>
    <w:p w:rsidR="00713462" w:rsidRPr="00F00BAE" w:rsidRDefault="00713462" w:rsidP="00713462">
      <w:pPr>
        <w:pStyle w:val="BodyText"/>
        <w:ind w:firstLine="288"/>
        <w:rPr>
          <w:color w:val="000000"/>
          <w:sz w:val="22"/>
          <w:szCs w:val="22"/>
        </w:rPr>
      </w:pPr>
      <w:r w:rsidRPr="00F00BAE">
        <w:rPr>
          <w:color w:val="000000"/>
          <w:sz w:val="22"/>
          <w:szCs w:val="22"/>
        </w:rPr>
        <w:lastRenderedPageBreak/>
        <w:t>Brammer, L. R. &amp; Wolter, S. M.  Experiential and Service Learning: A New Resource for  Communication Instructors.  Panelist at the annual convention of the National Communication Association, Chicago, IL, November 2009.</w:t>
      </w:r>
    </w:p>
    <w:p w:rsidR="00713462" w:rsidRPr="00F00BAE" w:rsidRDefault="00713462" w:rsidP="00713462">
      <w:pPr>
        <w:spacing w:after="120"/>
        <w:ind w:firstLine="288"/>
        <w:rPr>
          <w:color w:val="000000"/>
          <w:sz w:val="22"/>
          <w:szCs w:val="22"/>
        </w:rPr>
      </w:pPr>
      <w:r w:rsidRPr="00F00BAE">
        <w:rPr>
          <w:color w:val="000000"/>
          <w:sz w:val="22"/>
          <w:szCs w:val="22"/>
        </w:rPr>
        <w:t xml:space="preserve">Brammer, L.R. The Case for Public Discourse. </w:t>
      </w:r>
      <w:r w:rsidRPr="00F00BAE">
        <w:rPr>
          <w:sz w:val="22"/>
          <w:szCs w:val="22"/>
        </w:rPr>
        <w:t>Position paper for the Brigrance Colloquy on Public Speaking as a Liberal Art.  Center for Inquiry, Wabash College, April 2009.  http://www.liberalarts.wabash.edu/brigance-colloquy/</w:t>
      </w:r>
    </w:p>
    <w:p w:rsidR="003C1C5D" w:rsidRPr="00F00BAE" w:rsidRDefault="00713462" w:rsidP="003C1C5D">
      <w:pPr>
        <w:pStyle w:val="BodyText"/>
        <w:ind w:firstLine="288"/>
        <w:rPr>
          <w:color w:val="000000"/>
          <w:sz w:val="22"/>
          <w:szCs w:val="22"/>
        </w:rPr>
        <w:sectPr w:rsidR="003C1C5D" w:rsidRPr="00F00BAE" w:rsidSect="0070706C">
          <w:headerReference w:type="default" r:id="rId10"/>
          <w:pgSz w:w="12240" w:h="15840"/>
          <w:pgMar w:top="1440" w:right="1800" w:bottom="1440" w:left="1800" w:header="720" w:footer="720" w:gutter="0"/>
          <w:cols w:space="720"/>
          <w:docGrid w:linePitch="360"/>
        </w:sectPr>
      </w:pPr>
      <w:r w:rsidRPr="00F00BAE">
        <w:rPr>
          <w:color w:val="000000"/>
          <w:sz w:val="22"/>
          <w:szCs w:val="22"/>
        </w:rPr>
        <w:t>Brammer, L. R. &amp; Wolter, S. M.  Assessing Response to Public Discourse, an Introductory Course in Speaking, Argument, and Civic Engagement.  Presented at the annual convention of the National Communication Associatio</w:t>
      </w:r>
      <w:r w:rsidR="00F333DA">
        <w:rPr>
          <w:color w:val="000000"/>
          <w:sz w:val="22"/>
          <w:szCs w:val="22"/>
        </w:rPr>
        <w:t>n, San Diego, CA, November 2008.</w:t>
      </w:r>
    </w:p>
    <w:p w:rsidR="003844C6" w:rsidRPr="007C055A" w:rsidRDefault="003844C6" w:rsidP="003844C6">
      <w:pPr>
        <w:jc w:val="center"/>
        <w:rPr>
          <w:rFonts w:ascii="Cambria" w:hAnsi="Cambria"/>
          <w:b/>
          <w:sz w:val="22"/>
          <w:szCs w:val="22"/>
        </w:rPr>
      </w:pPr>
      <w:r w:rsidRPr="007C055A">
        <w:rPr>
          <w:rFonts w:ascii="Cambria" w:hAnsi="Cambria"/>
          <w:b/>
          <w:sz w:val="22"/>
          <w:szCs w:val="22"/>
        </w:rPr>
        <w:lastRenderedPageBreak/>
        <w:t>Presidential Faculty/Student Collaboration Grant</w:t>
      </w:r>
    </w:p>
    <w:p w:rsidR="003844C6" w:rsidRPr="007C055A" w:rsidRDefault="003844C6" w:rsidP="003844C6">
      <w:pPr>
        <w:jc w:val="center"/>
        <w:rPr>
          <w:rFonts w:ascii="Cambria" w:hAnsi="Cambria"/>
          <w:b/>
          <w:sz w:val="22"/>
          <w:szCs w:val="22"/>
        </w:rPr>
      </w:pPr>
    </w:p>
    <w:p w:rsidR="003844C6" w:rsidRPr="007C055A" w:rsidRDefault="003844C6" w:rsidP="003844C6">
      <w:pPr>
        <w:jc w:val="center"/>
        <w:rPr>
          <w:rFonts w:ascii="Cambria" w:hAnsi="Cambria"/>
          <w:b/>
          <w:sz w:val="22"/>
          <w:szCs w:val="22"/>
        </w:rPr>
      </w:pPr>
      <w:r w:rsidRPr="007C055A">
        <w:rPr>
          <w:rFonts w:ascii="Cambria" w:hAnsi="Cambria"/>
          <w:b/>
          <w:sz w:val="22"/>
          <w:szCs w:val="22"/>
        </w:rPr>
        <w:t>Budget Information</w:t>
      </w:r>
    </w:p>
    <w:p w:rsidR="003844C6" w:rsidRPr="007C055A" w:rsidRDefault="003844C6" w:rsidP="003844C6">
      <w:pPr>
        <w:rPr>
          <w:rFonts w:ascii="Cambria" w:hAnsi="Cambria"/>
          <w:sz w:val="22"/>
          <w:szCs w:val="22"/>
        </w:rPr>
      </w:pPr>
      <w:r w:rsidRPr="007C055A">
        <w:rPr>
          <w:rFonts w:ascii="Cambria" w:hAnsi="Cambria"/>
          <w:i/>
          <w:sz w:val="22"/>
          <w:szCs w:val="22"/>
        </w:rPr>
        <w:t>Faculty Stipend</w:t>
      </w:r>
      <w:r w:rsidRPr="007C055A">
        <w:rPr>
          <w:rFonts w:ascii="Cambria" w:hAnsi="Cambria"/>
          <w:sz w:val="22"/>
          <w:szCs w:val="22"/>
        </w:rPr>
        <w:t xml:space="preserve"> ($300 per week, up to $3,000 for a maximum of 10 weeks)</w:t>
      </w:r>
    </w:p>
    <w:p w:rsidR="003844C6" w:rsidRPr="007C055A" w:rsidRDefault="003844C6" w:rsidP="003844C6">
      <w:pPr>
        <w:rPr>
          <w:rFonts w:ascii="Cambria" w:hAnsi="Cambria"/>
          <w:sz w:val="22"/>
          <w:szCs w:val="22"/>
        </w:rPr>
      </w:pPr>
      <w:r w:rsidRPr="007C055A">
        <w:rPr>
          <w:rFonts w:ascii="Cambria" w:hAnsi="Cambria"/>
          <w:i/>
          <w:sz w:val="22"/>
          <w:szCs w:val="22"/>
        </w:rPr>
        <w:t>Student Summer Stipend</w:t>
      </w:r>
      <w:r w:rsidRPr="007C055A">
        <w:rPr>
          <w:rFonts w:ascii="Cambria" w:hAnsi="Cambria"/>
          <w:sz w:val="22"/>
          <w:szCs w:val="22"/>
        </w:rPr>
        <w:t xml:space="preserve"> ($400 per week, up to $4,000 for a maximum of 10 weeks)</w:t>
      </w:r>
    </w:p>
    <w:p w:rsidR="003844C6" w:rsidRPr="007C055A" w:rsidRDefault="003844C6" w:rsidP="003844C6">
      <w:pPr>
        <w:rPr>
          <w:rFonts w:ascii="Cambria" w:hAnsi="Cambria"/>
          <w:sz w:val="22"/>
          <w:szCs w:val="22"/>
        </w:rPr>
      </w:pPr>
      <w:r w:rsidRPr="007C055A">
        <w:rPr>
          <w:rFonts w:ascii="Cambria" w:hAnsi="Cambria"/>
          <w:i/>
          <w:sz w:val="22"/>
          <w:szCs w:val="22"/>
        </w:rPr>
        <w:t>Student Summer Campus</w:t>
      </w:r>
      <w:r w:rsidRPr="007C055A">
        <w:rPr>
          <w:rFonts w:ascii="Cambria" w:hAnsi="Cambria"/>
          <w:sz w:val="22"/>
          <w:szCs w:val="22"/>
        </w:rPr>
        <w:t xml:space="preserve"> Housing ($60 per week, for a maximum of 10 weeks)</w:t>
      </w:r>
    </w:p>
    <w:p w:rsidR="003844C6" w:rsidRPr="007C055A" w:rsidRDefault="003844C6" w:rsidP="003844C6">
      <w:pPr>
        <w:rPr>
          <w:rFonts w:ascii="Cambria" w:hAnsi="Cambria"/>
          <w:sz w:val="22"/>
          <w:szCs w:val="22"/>
        </w:rPr>
      </w:pPr>
      <w:r w:rsidRPr="00C46D81">
        <w:rPr>
          <w:rFonts w:ascii="Cambria" w:hAnsi="Cambria"/>
          <w:b/>
          <w:sz w:val="22"/>
          <w:szCs w:val="22"/>
        </w:rPr>
        <w:t>Budget Maximum</w:t>
      </w:r>
      <w:r w:rsidRPr="00C46D81">
        <w:rPr>
          <w:rFonts w:ascii="Cambria" w:hAnsi="Cambria"/>
          <w:sz w:val="22"/>
          <w:szCs w:val="22"/>
        </w:rPr>
        <w:t xml:space="preserve"> ($8,100 for all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3600"/>
        <w:gridCol w:w="1548"/>
      </w:tblGrid>
      <w:tr w:rsidR="003844C6" w:rsidRPr="007C055A" w:rsidTr="003844C6">
        <w:tc>
          <w:tcPr>
            <w:tcW w:w="7308" w:type="dxa"/>
            <w:gridSpan w:val="3"/>
            <w:shd w:val="clear" w:color="auto" w:fill="auto"/>
          </w:tcPr>
          <w:p w:rsidR="003844C6" w:rsidRPr="007C055A" w:rsidRDefault="003844C6" w:rsidP="003844C6">
            <w:pPr>
              <w:rPr>
                <w:rFonts w:ascii="Cambria" w:hAnsi="Cambria"/>
                <w:sz w:val="22"/>
                <w:szCs w:val="22"/>
              </w:rPr>
            </w:pPr>
            <w:r w:rsidRPr="007C055A">
              <w:rPr>
                <w:rFonts w:ascii="Cambria" w:hAnsi="Cambria"/>
                <w:b/>
                <w:sz w:val="22"/>
                <w:szCs w:val="22"/>
              </w:rPr>
              <w:t>Item</w:t>
            </w:r>
          </w:p>
        </w:tc>
        <w:tc>
          <w:tcPr>
            <w:tcW w:w="1548" w:type="dxa"/>
            <w:shd w:val="clear" w:color="auto" w:fill="auto"/>
          </w:tcPr>
          <w:p w:rsidR="003844C6" w:rsidRPr="007C055A" w:rsidRDefault="003844C6" w:rsidP="003844C6">
            <w:pPr>
              <w:rPr>
                <w:rFonts w:ascii="Cambria" w:hAnsi="Cambria"/>
                <w:b/>
                <w:sz w:val="22"/>
                <w:szCs w:val="22"/>
              </w:rPr>
            </w:pPr>
            <w:r w:rsidRPr="007C055A">
              <w:rPr>
                <w:rFonts w:ascii="Cambria" w:hAnsi="Cambria"/>
                <w:b/>
                <w:sz w:val="22"/>
                <w:szCs w:val="22"/>
              </w:rPr>
              <w:t>Amount</w:t>
            </w:r>
          </w:p>
        </w:tc>
      </w:tr>
      <w:tr w:rsidR="003844C6" w:rsidRPr="007C055A" w:rsidTr="003844C6">
        <w:tc>
          <w:tcPr>
            <w:tcW w:w="7308" w:type="dxa"/>
            <w:gridSpan w:val="3"/>
            <w:shd w:val="clear" w:color="auto" w:fill="A6A6A6"/>
          </w:tcPr>
          <w:p w:rsidR="003844C6" w:rsidRPr="007C055A" w:rsidRDefault="003844C6" w:rsidP="003844C6">
            <w:pPr>
              <w:rPr>
                <w:rFonts w:ascii="Cambria" w:hAnsi="Cambria"/>
                <w:sz w:val="22"/>
                <w:szCs w:val="22"/>
              </w:rPr>
            </w:pPr>
            <w:r w:rsidRPr="007C055A">
              <w:rPr>
                <w:rFonts w:ascii="Cambria" w:hAnsi="Cambria"/>
                <w:sz w:val="22"/>
                <w:szCs w:val="22"/>
              </w:rPr>
              <w:t>Equipment (e.g., transcription machine, camera, cassette recorder – but not to include computer hardware)</w:t>
            </w:r>
          </w:p>
        </w:tc>
        <w:tc>
          <w:tcPr>
            <w:tcW w:w="1548" w:type="dxa"/>
            <w:shd w:val="clear" w:color="auto" w:fill="A6A6A6"/>
          </w:tcPr>
          <w:p w:rsidR="003844C6" w:rsidRPr="007C055A" w:rsidRDefault="003844C6" w:rsidP="003844C6">
            <w:pPr>
              <w:rPr>
                <w:rFonts w:ascii="Cambria" w:hAnsi="Cambria"/>
                <w:b/>
                <w:sz w:val="22"/>
                <w:szCs w:val="22"/>
              </w:rPr>
            </w:pPr>
            <w:r w:rsidRPr="007C055A">
              <w:rPr>
                <w:rFonts w:ascii="Cambria" w:hAnsi="Cambria"/>
                <w:b/>
                <w:sz w:val="22"/>
                <w:szCs w:val="22"/>
              </w:rPr>
              <w:t xml:space="preserve">$ </w:t>
            </w:r>
            <w:r>
              <w:rPr>
                <w:rFonts w:ascii="Cambria" w:hAnsi="Cambria"/>
                <w:b/>
                <w:sz w:val="22"/>
                <w:szCs w:val="22"/>
              </w:rPr>
              <w:t>80</w:t>
            </w:r>
          </w:p>
        </w:tc>
      </w:tr>
      <w:tr w:rsidR="003844C6" w:rsidRPr="007C055A" w:rsidTr="003844C6">
        <w:tc>
          <w:tcPr>
            <w:tcW w:w="3168" w:type="dxa"/>
            <w:shd w:val="clear" w:color="auto" w:fill="auto"/>
          </w:tcPr>
          <w:p w:rsidR="003844C6" w:rsidRPr="007C055A" w:rsidRDefault="003844C6" w:rsidP="003844C6">
            <w:pPr>
              <w:rPr>
                <w:rFonts w:ascii="Cambria" w:hAnsi="Cambria"/>
                <w:sz w:val="22"/>
                <w:szCs w:val="22"/>
              </w:rPr>
            </w:pPr>
            <w:r w:rsidRPr="007C055A">
              <w:rPr>
                <w:rFonts w:ascii="Cambria" w:hAnsi="Cambria"/>
                <w:sz w:val="22"/>
                <w:szCs w:val="22"/>
              </w:rPr>
              <w:t>1:</w:t>
            </w:r>
            <w:r>
              <w:rPr>
                <w:rFonts w:ascii="Cambria" w:hAnsi="Cambria"/>
                <w:sz w:val="22"/>
                <w:szCs w:val="22"/>
              </w:rPr>
              <w:t>Recorder</w:t>
            </w:r>
          </w:p>
        </w:tc>
        <w:tc>
          <w:tcPr>
            <w:tcW w:w="4140" w:type="dxa"/>
            <w:gridSpan w:val="2"/>
            <w:shd w:val="clear" w:color="auto" w:fill="auto"/>
          </w:tcPr>
          <w:p w:rsidR="003844C6" w:rsidRPr="007C055A" w:rsidRDefault="003844C6" w:rsidP="003844C6">
            <w:pPr>
              <w:rPr>
                <w:rFonts w:ascii="Cambria" w:hAnsi="Cambria"/>
                <w:sz w:val="22"/>
                <w:szCs w:val="22"/>
              </w:rPr>
            </w:pPr>
            <w:r w:rsidRPr="007C055A">
              <w:rPr>
                <w:rFonts w:ascii="Cambria" w:hAnsi="Cambria"/>
                <w:sz w:val="22"/>
                <w:szCs w:val="22"/>
              </w:rPr>
              <w:t xml:space="preserve">Cost: </w:t>
            </w:r>
            <w:r>
              <w:rPr>
                <w:rFonts w:ascii="Cambria" w:hAnsi="Cambria"/>
                <w:sz w:val="22"/>
                <w:szCs w:val="22"/>
              </w:rPr>
              <w:t>$80</w:t>
            </w:r>
          </w:p>
        </w:tc>
        <w:tc>
          <w:tcPr>
            <w:tcW w:w="1548" w:type="dxa"/>
            <w:shd w:val="clear" w:color="auto" w:fill="auto"/>
          </w:tcPr>
          <w:p w:rsidR="003844C6" w:rsidRPr="007C055A" w:rsidRDefault="003844C6" w:rsidP="003844C6">
            <w:pPr>
              <w:rPr>
                <w:rFonts w:ascii="Cambria" w:hAnsi="Cambria"/>
                <w:sz w:val="22"/>
                <w:szCs w:val="22"/>
              </w:rPr>
            </w:pPr>
          </w:p>
        </w:tc>
      </w:tr>
      <w:tr w:rsidR="003844C6" w:rsidRPr="007C055A" w:rsidTr="003844C6">
        <w:tc>
          <w:tcPr>
            <w:tcW w:w="3168" w:type="dxa"/>
            <w:shd w:val="clear" w:color="auto" w:fill="auto"/>
          </w:tcPr>
          <w:p w:rsidR="003844C6" w:rsidRPr="007C055A" w:rsidRDefault="003844C6" w:rsidP="003844C6">
            <w:pPr>
              <w:rPr>
                <w:rFonts w:ascii="Cambria" w:hAnsi="Cambria"/>
                <w:sz w:val="22"/>
                <w:szCs w:val="22"/>
              </w:rPr>
            </w:pPr>
            <w:r w:rsidRPr="007C055A">
              <w:rPr>
                <w:rFonts w:ascii="Cambria" w:hAnsi="Cambria"/>
                <w:sz w:val="22"/>
                <w:szCs w:val="22"/>
              </w:rPr>
              <w:t>2:</w:t>
            </w:r>
          </w:p>
        </w:tc>
        <w:tc>
          <w:tcPr>
            <w:tcW w:w="4140" w:type="dxa"/>
            <w:gridSpan w:val="2"/>
            <w:shd w:val="clear" w:color="auto" w:fill="auto"/>
          </w:tcPr>
          <w:p w:rsidR="003844C6" w:rsidRPr="007C055A" w:rsidRDefault="003844C6" w:rsidP="003844C6">
            <w:pPr>
              <w:rPr>
                <w:rFonts w:ascii="Cambria" w:hAnsi="Cambria"/>
                <w:sz w:val="22"/>
                <w:szCs w:val="22"/>
              </w:rPr>
            </w:pPr>
            <w:r w:rsidRPr="007C055A">
              <w:rPr>
                <w:rFonts w:ascii="Cambria" w:hAnsi="Cambria"/>
                <w:sz w:val="22"/>
                <w:szCs w:val="22"/>
              </w:rPr>
              <w:t>Cost:</w:t>
            </w:r>
          </w:p>
        </w:tc>
        <w:tc>
          <w:tcPr>
            <w:tcW w:w="1548" w:type="dxa"/>
            <w:shd w:val="clear" w:color="auto" w:fill="auto"/>
            <w:vAlign w:val="center"/>
          </w:tcPr>
          <w:p w:rsidR="003844C6" w:rsidRPr="007C055A" w:rsidRDefault="003844C6" w:rsidP="003844C6">
            <w:pPr>
              <w:rPr>
                <w:rFonts w:ascii="Cambria" w:hAnsi="Cambria"/>
                <w:sz w:val="22"/>
                <w:szCs w:val="22"/>
              </w:rPr>
            </w:pPr>
          </w:p>
        </w:tc>
      </w:tr>
      <w:tr w:rsidR="003844C6" w:rsidRPr="007C055A" w:rsidTr="003844C6">
        <w:tc>
          <w:tcPr>
            <w:tcW w:w="3168" w:type="dxa"/>
            <w:shd w:val="clear" w:color="auto" w:fill="auto"/>
          </w:tcPr>
          <w:p w:rsidR="003844C6" w:rsidRPr="007C055A" w:rsidRDefault="003844C6" w:rsidP="003844C6">
            <w:pPr>
              <w:rPr>
                <w:rFonts w:ascii="Cambria" w:hAnsi="Cambria"/>
                <w:sz w:val="22"/>
                <w:szCs w:val="22"/>
              </w:rPr>
            </w:pPr>
            <w:r w:rsidRPr="007C055A">
              <w:rPr>
                <w:rFonts w:ascii="Cambria" w:hAnsi="Cambria"/>
                <w:sz w:val="22"/>
                <w:szCs w:val="22"/>
              </w:rPr>
              <w:t>3:</w:t>
            </w:r>
          </w:p>
        </w:tc>
        <w:tc>
          <w:tcPr>
            <w:tcW w:w="4140" w:type="dxa"/>
            <w:gridSpan w:val="2"/>
            <w:shd w:val="clear" w:color="auto" w:fill="auto"/>
          </w:tcPr>
          <w:p w:rsidR="003844C6" w:rsidRPr="007C055A" w:rsidRDefault="003844C6" w:rsidP="003844C6">
            <w:pPr>
              <w:rPr>
                <w:rFonts w:ascii="Cambria" w:hAnsi="Cambria"/>
                <w:sz w:val="22"/>
                <w:szCs w:val="22"/>
              </w:rPr>
            </w:pPr>
            <w:r w:rsidRPr="007C055A">
              <w:rPr>
                <w:rFonts w:ascii="Cambria" w:hAnsi="Cambria"/>
                <w:sz w:val="22"/>
                <w:szCs w:val="22"/>
              </w:rPr>
              <w:t>Cost:</w:t>
            </w:r>
          </w:p>
        </w:tc>
        <w:tc>
          <w:tcPr>
            <w:tcW w:w="1548" w:type="dxa"/>
            <w:shd w:val="clear" w:color="auto" w:fill="auto"/>
            <w:vAlign w:val="center"/>
          </w:tcPr>
          <w:p w:rsidR="003844C6" w:rsidRPr="007C055A" w:rsidRDefault="003844C6" w:rsidP="003844C6">
            <w:pPr>
              <w:rPr>
                <w:rFonts w:ascii="Cambria" w:hAnsi="Cambria"/>
                <w:sz w:val="22"/>
                <w:szCs w:val="22"/>
              </w:rPr>
            </w:pPr>
          </w:p>
        </w:tc>
      </w:tr>
      <w:tr w:rsidR="003844C6" w:rsidRPr="007C055A" w:rsidTr="003844C6">
        <w:tc>
          <w:tcPr>
            <w:tcW w:w="7308" w:type="dxa"/>
            <w:gridSpan w:val="3"/>
            <w:shd w:val="clear" w:color="auto" w:fill="A6A6A6"/>
          </w:tcPr>
          <w:p w:rsidR="003844C6" w:rsidRPr="007C055A" w:rsidRDefault="003844C6" w:rsidP="003844C6">
            <w:pPr>
              <w:rPr>
                <w:rFonts w:ascii="Cambria" w:hAnsi="Cambria"/>
                <w:sz w:val="22"/>
                <w:szCs w:val="22"/>
              </w:rPr>
            </w:pPr>
            <w:r w:rsidRPr="007C055A">
              <w:rPr>
                <w:rFonts w:ascii="Cambria" w:hAnsi="Cambria"/>
                <w:sz w:val="22"/>
                <w:szCs w:val="22"/>
              </w:rPr>
              <w:t>Materials (e.g., books, printing, software, lab supplies)</w:t>
            </w:r>
          </w:p>
        </w:tc>
        <w:tc>
          <w:tcPr>
            <w:tcW w:w="1548" w:type="dxa"/>
            <w:shd w:val="clear" w:color="auto" w:fill="A6A6A6"/>
          </w:tcPr>
          <w:p w:rsidR="003844C6" w:rsidRPr="007C055A" w:rsidRDefault="003844C6" w:rsidP="003844C6">
            <w:pPr>
              <w:rPr>
                <w:rFonts w:ascii="Cambria" w:hAnsi="Cambria"/>
                <w:b/>
                <w:sz w:val="22"/>
                <w:szCs w:val="22"/>
              </w:rPr>
            </w:pPr>
            <w:r w:rsidRPr="007C055A">
              <w:rPr>
                <w:rFonts w:ascii="Cambria" w:hAnsi="Cambria"/>
                <w:b/>
                <w:sz w:val="22"/>
                <w:szCs w:val="22"/>
              </w:rPr>
              <w:t>$</w:t>
            </w:r>
            <w:r>
              <w:rPr>
                <w:rFonts w:ascii="Cambria" w:hAnsi="Cambria"/>
                <w:b/>
                <w:sz w:val="22"/>
                <w:szCs w:val="22"/>
              </w:rPr>
              <w:t>156</w:t>
            </w:r>
          </w:p>
        </w:tc>
      </w:tr>
      <w:tr w:rsidR="003844C6" w:rsidRPr="007C055A" w:rsidTr="003844C6">
        <w:tc>
          <w:tcPr>
            <w:tcW w:w="3168" w:type="dxa"/>
            <w:shd w:val="clear" w:color="auto" w:fill="auto"/>
          </w:tcPr>
          <w:p w:rsidR="003844C6" w:rsidRPr="007C055A" w:rsidRDefault="003844C6" w:rsidP="003844C6">
            <w:pPr>
              <w:rPr>
                <w:rFonts w:ascii="Cambria" w:hAnsi="Cambria"/>
                <w:sz w:val="22"/>
                <w:szCs w:val="22"/>
              </w:rPr>
            </w:pPr>
            <w:r w:rsidRPr="007C055A">
              <w:rPr>
                <w:rFonts w:ascii="Cambria" w:hAnsi="Cambria"/>
                <w:sz w:val="22"/>
                <w:szCs w:val="22"/>
              </w:rPr>
              <w:t xml:space="preserve">1: </w:t>
            </w:r>
            <w:r>
              <w:rPr>
                <w:rFonts w:ascii="Cambria" w:hAnsi="Cambria"/>
                <w:sz w:val="22"/>
                <w:szCs w:val="22"/>
              </w:rPr>
              <w:t>Dedoose</w:t>
            </w:r>
          </w:p>
        </w:tc>
        <w:tc>
          <w:tcPr>
            <w:tcW w:w="4140" w:type="dxa"/>
            <w:gridSpan w:val="2"/>
            <w:shd w:val="clear" w:color="auto" w:fill="auto"/>
          </w:tcPr>
          <w:p w:rsidR="003844C6" w:rsidRPr="007C055A" w:rsidRDefault="003844C6" w:rsidP="003844C6">
            <w:pPr>
              <w:rPr>
                <w:rFonts w:ascii="Cambria" w:hAnsi="Cambria"/>
                <w:sz w:val="22"/>
                <w:szCs w:val="22"/>
              </w:rPr>
            </w:pPr>
            <w:r w:rsidRPr="007C055A">
              <w:rPr>
                <w:rFonts w:ascii="Cambria" w:hAnsi="Cambria"/>
                <w:sz w:val="22"/>
                <w:szCs w:val="22"/>
              </w:rPr>
              <w:t xml:space="preserve">Cost: </w:t>
            </w:r>
            <w:r>
              <w:rPr>
                <w:rFonts w:ascii="Cambria" w:hAnsi="Cambria"/>
                <w:sz w:val="22"/>
                <w:szCs w:val="22"/>
              </w:rPr>
              <w:t>12.95/month x 12 months</w:t>
            </w:r>
          </w:p>
        </w:tc>
        <w:tc>
          <w:tcPr>
            <w:tcW w:w="1548" w:type="dxa"/>
            <w:shd w:val="clear" w:color="auto" w:fill="auto"/>
          </w:tcPr>
          <w:p w:rsidR="003844C6" w:rsidRPr="007C055A" w:rsidRDefault="003844C6" w:rsidP="003844C6">
            <w:pPr>
              <w:rPr>
                <w:rFonts w:ascii="Cambria" w:hAnsi="Cambria"/>
                <w:sz w:val="22"/>
                <w:szCs w:val="22"/>
              </w:rPr>
            </w:pPr>
          </w:p>
        </w:tc>
      </w:tr>
      <w:tr w:rsidR="003844C6" w:rsidRPr="007C055A" w:rsidTr="003844C6">
        <w:tc>
          <w:tcPr>
            <w:tcW w:w="3168" w:type="dxa"/>
            <w:shd w:val="clear" w:color="auto" w:fill="auto"/>
          </w:tcPr>
          <w:p w:rsidR="003844C6" w:rsidRPr="007C055A" w:rsidRDefault="003844C6" w:rsidP="003844C6">
            <w:pPr>
              <w:rPr>
                <w:rFonts w:ascii="Cambria" w:hAnsi="Cambria"/>
                <w:sz w:val="22"/>
                <w:szCs w:val="22"/>
              </w:rPr>
            </w:pPr>
            <w:r w:rsidRPr="007C055A">
              <w:rPr>
                <w:rFonts w:ascii="Cambria" w:hAnsi="Cambria"/>
                <w:sz w:val="22"/>
                <w:szCs w:val="22"/>
              </w:rPr>
              <w:t xml:space="preserve">2: </w:t>
            </w:r>
          </w:p>
        </w:tc>
        <w:tc>
          <w:tcPr>
            <w:tcW w:w="4140" w:type="dxa"/>
            <w:gridSpan w:val="2"/>
            <w:shd w:val="clear" w:color="auto" w:fill="auto"/>
          </w:tcPr>
          <w:p w:rsidR="003844C6" w:rsidRPr="007C055A" w:rsidRDefault="003844C6" w:rsidP="003844C6">
            <w:pPr>
              <w:rPr>
                <w:rFonts w:ascii="Cambria" w:hAnsi="Cambria"/>
                <w:sz w:val="22"/>
                <w:szCs w:val="22"/>
              </w:rPr>
            </w:pPr>
            <w:r w:rsidRPr="007C055A">
              <w:rPr>
                <w:rFonts w:ascii="Cambria" w:hAnsi="Cambria"/>
                <w:sz w:val="22"/>
                <w:szCs w:val="22"/>
              </w:rPr>
              <w:t xml:space="preserve">Cost: </w:t>
            </w:r>
          </w:p>
        </w:tc>
        <w:tc>
          <w:tcPr>
            <w:tcW w:w="1548" w:type="dxa"/>
            <w:shd w:val="clear" w:color="auto" w:fill="auto"/>
            <w:vAlign w:val="center"/>
          </w:tcPr>
          <w:p w:rsidR="003844C6" w:rsidRPr="007C055A" w:rsidRDefault="003844C6" w:rsidP="003844C6">
            <w:pPr>
              <w:rPr>
                <w:rFonts w:ascii="Cambria" w:hAnsi="Cambria"/>
                <w:sz w:val="22"/>
                <w:szCs w:val="22"/>
              </w:rPr>
            </w:pPr>
          </w:p>
        </w:tc>
      </w:tr>
      <w:tr w:rsidR="003844C6" w:rsidRPr="007C055A" w:rsidTr="003844C6">
        <w:tc>
          <w:tcPr>
            <w:tcW w:w="3168" w:type="dxa"/>
            <w:shd w:val="clear" w:color="auto" w:fill="auto"/>
          </w:tcPr>
          <w:p w:rsidR="003844C6" w:rsidRPr="007C055A" w:rsidRDefault="003844C6" w:rsidP="003844C6">
            <w:pPr>
              <w:rPr>
                <w:rFonts w:ascii="Cambria" w:hAnsi="Cambria"/>
                <w:sz w:val="22"/>
                <w:szCs w:val="22"/>
              </w:rPr>
            </w:pPr>
            <w:r w:rsidRPr="007C055A">
              <w:rPr>
                <w:rFonts w:ascii="Cambria" w:hAnsi="Cambria"/>
                <w:sz w:val="22"/>
                <w:szCs w:val="22"/>
              </w:rPr>
              <w:t xml:space="preserve">3: </w:t>
            </w:r>
          </w:p>
        </w:tc>
        <w:tc>
          <w:tcPr>
            <w:tcW w:w="4140" w:type="dxa"/>
            <w:gridSpan w:val="2"/>
            <w:shd w:val="clear" w:color="auto" w:fill="auto"/>
          </w:tcPr>
          <w:p w:rsidR="003844C6" w:rsidRPr="007C055A" w:rsidRDefault="003844C6" w:rsidP="003844C6">
            <w:pPr>
              <w:rPr>
                <w:rFonts w:ascii="Cambria" w:hAnsi="Cambria"/>
                <w:sz w:val="22"/>
                <w:szCs w:val="22"/>
              </w:rPr>
            </w:pPr>
            <w:r w:rsidRPr="007C055A">
              <w:rPr>
                <w:rFonts w:ascii="Cambria" w:hAnsi="Cambria"/>
                <w:sz w:val="22"/>
                <w:szCs w:val="22"/>
              </w:rPr>
              <w:t xml:space="preserve">Cost: </w:t>
            </w:r>
          </w:p>
        </w:tc>
        <w:tc>
          <w:tcPr>
            <w:tcW w:w="1548" w:type="dxa"/>
            <w:shd w:val="clear" w:color="auto" w:fill="auto"/>
            <w:vAlign w:val="center"/>
          </w:tcPr>
          <w:p w:rsidR="003844C6" w:rsidRPr="007C055A" w:rsidRDefault="003844C6" w:rsidP="003844C6">
            <w:pPr>
              <w:rPr>
                <w:rFonts w:ascii="Cambria" w:hAnsi="Cambria"/>
                <w:sz w:val="22"/>
                <w:szCs w:val="22"/>
              </w:rPr>
            </w:pPr>
          </w:p>
        </w:tc>
      </w:tr>
      <w:tr w:rsidR="003844C6" w:rsidRPr="007C055A" w:rsidTr="003844C6">
        <w:tc>
          <w:tcPr>
            <w:tcW w:w="7308" w:type="dxa"/>
            <w:gridSpan w:val="3"/>
            <w:shd w:val="clear" w:color="auto" w:fill="A6A6A6"/>
          </w:tcPr>
          <w:p w:rsidR="003844C6" w:rsidRPr="007C055A" w:rsidRDefault="003844C6" w:rsidP="003844C6">
            <w:pPr>
              <w:rPr>
                <w:rFonts w:ascii="Cambria" w:hAnsi="Cambria"/>
                <w:sz w:val="22"/>
                <w:szCs w:val="22"/>
              </w:rPr>
            </w:pPr>
            <w:r w:rsidRPr="007C055A">
              <w:rPr>
                <w:rFonts w:ascii="Cambria" w:hAnsi="Cambria"/>
                <w:sz w:val="22"/>
                <w:szCs w:val="22"/>
              </w:rPr>
              <w:t xml:space="preserve">Travel Costs (cannot include conference travel, see </w:t>
            </w:r>
            <w:hyperlink r:id="rId11" w:history="1">
              <w:r w:rsidRPr="007C055A">
                <w:rPr>
                  <w:rStyle w:val="Hyperlink"/>
                  <w:rFonts w:ascii="Cambria" w:hAnsi="Cambria"/>
                  <w:sz w:val="22"/>
                  <w:szCs w:val="22"/>
                </w:rPr>
                <w:t>http://gustavus.edu/finance/travel.php</w:t>
              </w:r>
            </w:hyperlink>
            <w:r w:rsidRPr="007C055A">
              <w:rPr>
                <w:rFonts w:ascii="Cambria" w:hAnsi="Cambria"/>
                <w:sz w:val="22"/>
                <w:szCs w:val="22"/>
              </w:rPr>
              <w:t xml:space="preserve"> for allowable travel expenses)</w:t>
            </w:r>
          </w:p>
        </w:tc>
        <w:tc>
          <w:tcPr>
            <w:tcW w:w="1548" w:type="dxa"/>
            <w:shd w:val="clear" w:color="auto" w:fill="A6A6A6"/>
          </w:tcPr>
          <w:p w:rsidR="003844C6" w:rsidRPr="007C055A" w:rsidRDefault="003844C6" w:rsidP="003844C6">
            <w:pPr>
              <w:rPr>
                <w:rFonts w:ascii="Cambria" w:hAnsi="Cambria"/>
                <w:b/>
                <w:sz w:val="22"/>
                <w:szCs w:val="22"/>
              </w:rPr>
            </w:pPr>
            <w:r w:rsidRPr="007C055A">
              <w:rPr>
                <w:rFonts w:ascii="Cambria" w:hAnsi="Cambria"/>
                <w:b/>
                <w:sz w:val="22"/>
                <w:szCs w:val="22"/>
              </w:rPr>
              <w:t xml:space="preserve">$ </w:t>
            </w:r>
            <w:r>
              <w:rPr>
                <w:rFonts w:ascii="Cambria" w:hAnsi="Cambria"/>
                <w:b/>
                <w:sz w:val="22"/>
                <w:szCs w:val="22"/>
              </w:rPr>
              <w:t>235</w:t>
            </w:r>
          </w:p>
        </w:tc>
      </w:tr>
      <w:tr w:rsidR="003844C6" w:rsidRPr="007C055A" w:rsidTr="003844C6">
        <w:tc>
          <w:tcPr>
            <w:tcW w:w="7308" w:type="dxa"/>
            <w:gridSpan w:val="3"/>
            <w:shd w:val="clear" w:color="auto" w:fill="auto"/>
          </w:tcPr>
          <w:p w:rsidR="003844C6" w:rsidRPr="007C055A" w:rsidRDefault="003844C6" w:rsidP="003844C6">
            <w:pPr>
              <w:rPr>
                <w:rFonts w:ascii="Cambria" w:hAnsi="Cambria"/>
                <w:sz w:val="22"/>
                <w:szCs w:val="22"/>
              </w:rPr>
            </w:pPr>
            <w:r w:rsidRPr="007C055A">
              <w:rPr>
                <w:rFonts w:ascii="Cambria" w:hAnsi="Cambria"/>
                <w:sz w:val="22"/>
                <w:szCs w:val="22"/>
              </w:rPr>
              <w:t>Airfare:</w:t>
            </w:r>
          </w:p>
        </w:tc>
        <w:tc>
          <w:tcPr>
            <w:tcW w:w="1548" w:type="dxa"/>
            <w:shd w:val="clear" w:color="auto" w:fill="auto"/>
          </w:tcPr>
          <w:p w:rsidR="003844C6" w:rsidRPr="007C055A" w:rsidRDefault="003844C6" w:rsidP="003844C6">
            <w:pPr>
              <w:rPr>
                <w:rFonts w:ascii="Cambria" w:hAnsi="Cambria"/>
                <w:sz w:val="22"/>
                <w:szCs w:val="22"/>
              </w:rPr>
            </w:pPr>
          </w:p>
        </w:tc>
      </w:tr>
      <w:tr w:rsidR="003844C6" w:rsidRPr="007C055A" w:rsidTr="003844C6">
        <w:tc>
          <w:tcPr>
            <w:tcW w:w="7308" w:type="dxa"/>
            <w:gridSpan w:val="3"/>
            <w:shd w:val="clear" w:color="auto" w:fill="auto"/>
          </w:tcPr>
          <w:p w:rsidR="003844C6" w:rsidRDefault="003844C6" w:rsidP="003844C6">
            <w:pPr>
              <w:rPr>
                <w:rFonts w:ascii="Cambria" w:hAnsi="Cambria"/>
                <w:sz w:val="22"/>
                <w:szCs w:val="22"/>
              </w:rPr>
            </w:pPr>
            <w:r w:rsidRPr="007C055A">
              <w:rPr>
                <w:rFonts w:ascii="Cambria" w:hAnsi="Cambria"/>
                <w:sz w:val="22"/>
                <w:szCs w:val="22"/>
              </w:rPr>
              <w:t>Mileage: Number of miles__</w:t>
            </w:r>
            <w:r>
              <w:rPr>
                <w:rFonts w:ascii="Cambria" w:hAnsi="Cambria"/>
                <w:sz w:val="22"/>
                <w:szCs w:val="22"/>
              </w:rPr>
              <w:t>140</w:t>
            </w:r>
            <w:r w:rsidRPr="007C055A">
              <w:rPr>
                <w:rFonts w:ascii="Cambria" w:hAnsi="Cambria"/>
                <w:sz w:val="22"/>
                <w:szCs w:val="22"/>
              </w:rPr>
              <w:t>___ @ $0.5</w:t>
            </w:r>
            <w:r>
              <w:rPr>
                <w:rFonts w:ascii="Cambria" w:hAnsi="Cambria"/>
                <w:sz w:val="22"/>
                <w:szCs w:val="22"/>
              </w:rPr>
              <w:t>6</w:t>
            </w:r>
            <w:r w:rsidRPr="007C055A">
              <w:rPr>
                <w:rFonts w:ascii="Cambria" w:hAnsi="Cambria"/>
                <w:sz w:val="22"/>
                <w:szCs w:val="22"/>
              </w:rPr>
              <w:t>/mile</w:t>
            </w:r>
            <w:r>
              <w:rPr>
                <w:rFonts w:ascii="Cambria" w:hAnsi="Cambria"/>
                <w:sz w:val="22"/>
                <w:szCs w:val="22"/>
              </w:rPr>
              <w:t xml:space="preserve"> x 3 times </w:t>
            </w:r>
          </w:p>
          <w:p w:rsidR="003844C6" w:rsidRPr="007C055A" w:rsidRDefault="003844C6" w:rsidP="003844C6">
            <w:pPr>
              <w:rPr>
                <w:rFonts w:ascii="Cambria" w:hAnsi="Cambria"/>
                <w:sz w:val="22"/>
                <w:szCs w:val="22"/>
              </w:rPr>
            </w:pPr>
            <w:r>
              <w:rPr>
                <w:rFonts w:ascii="Cambria" w:hAnsi="Cambria"/>
                <w:sz w:val="22"/>
                <w:szCs w:val="22"/>
              </w:rPr>
              <w:t>Mariah’s mileage to attend focus groups.</w:t>
            </w:r>
          </w:p>
        </w:tc>
        <w:tc>
          <w:tcPr>
            <w:tcW w:w="1548" w:type="dxa"/>
            <w:shd w:val="clear" w:color="auto" w:fill="auto"/>
            <w:vAlign w:val="center"/>
          </w:tcPr>
          <w:p w:rsidR="003844C6" w:rsidRPr="007C055A" w:rsidRDefault="003844C6" w:rsidP="003844C6">
            <w:pPr>
              <w:rPr>
                <w:rFonts w:ascii="Cambria" w:hAnsi="Cambria"/>
                <w:sz w:val="22"/>
                <w:szCs w:val="22"/>
              </w:rPr>
            </w:pPr>
          </w:p>
        </w:tc>
      </w:tr>
      <w:tr w:rsidR="003844C6" w:rsidRPr="007C055A" w:rsidTr="003844C6">
        <w:tc>
          <w:tcPr>
            <w:tcW w:w="7308" w:type="dxa"/>
            <w:gridSpan w:val="3"/>
            <w:shd w:val="clear" w:color="auto" w:fill="auto"/>
          </w:tcPr>
          <w:p w:rsidR="003844C6" w:rsidRPr="007C055A" w:rsidRDefault="003844C6" w:rsidP="003844C6">
            <w:pPr>
              <w:rPr>
                <w:rFonts w:ascii="Cambria" w:hAnsi="Cambria"/>
                <w:sz w:val="22"/>
                <w:szCs w:val="22"/>
              </w:rPr>
            </w:pPr>
            <w:r w:rsidRPr="007C055A">
              <w:rPr>
                <w:rFonts w:ascii="Cambria" w:hAnsi="Cambria"/>
                <w:sz w:val="22"/>
                <w:szCs w:val="22"/>
              </w:rPr>
              <w:t>Lodging:</w:t>
            </w:r>
          </w:p>
        </w:tc>
        <w:tc>
          <w:tcPr>
            <w:tcW w:w="1548" w:type="dxa"/>
            <w:shd w:val="clear" w:color="auto" w:fill="auto"/>
            <w:vAlign w:val="center"/>
          </w:tcPr>
          <w:p w:rsidR="003844C6" w:rsidRPr="007C055A" w:rsidRDefault="003844C6" w:rsidP="003844C6">
            <w:pPr>
              <w:rPr>
                <w:rFonts w:ascii="Cambria" w:hAnsi="Cambria"/>
                <w:sz w:val="22"/>
                <w:szCs w:val="22"/>
              </w:rPr>
            </w:pPr>
          </w:p>
        </w:tc>
      </w:tr>
      <w:tr w:rsidR="003844C6" w:rsidRPr="007C055A" w:rsidTr="003844C6">
        <w:tc>
          <w:tcPr>
            <w:tcW w:w="7308" w:type="dxa"/>
            <w:gridSpan w:val="3"/>
            <w:shd w:val="clear" w:color="auto" w:fill="auto"/>
          </w:tcPr>
          <w:p w:rsidR="003844C6" w:rsidRPr="007C055A" w:rsidRDefault="003844C6" w:rsidP="003844C6">
            <w:pPr>
              <w:rPr>
                <w:rFonts w:ascii="Cambria" w:hAnsi="Cambria"/>
                <w:sz w:val="22"/>
                <w:szCs w:val="22"/>
              </w:rPr>
            </w:pPr>
            <w:r w:rsidRPr="007C055A">
              <w:rPr>
                <w:rFonts w:ascii="Cambria" w:hAnsi="Cambria"/>
                <w:sz w:val="22"/>
                <w:szCs w:val="22"/>
              </w:rPr>
              <w:t>Meals:</w:t>
            </w:r>
          </w:p>
        </w:tc>
        <w:tc>
          <w:tcPr>
            <w:tcW w:w="1548" w:type="dxa"/>
            <w:shd w:val="clear" w:color="auto" w:fill="auto"/>
            <w:vAlign w:val="center"/>
          </w:tcPr>
          <w:p w:rsidR="003844C6" w:rsidRPr="007C055A" w:rsidRDefault="003844C6" w:rsidP="003844C6">
            <w:pPr>
              <w:rPr>
                <w:rFonts w:ascii="Cambria" w:hAnsi="Cambria"/>
                <w:sz w:val="22"/>
                <w:szCs w:val="22"/>
              </w:rPr>
            </w:pPr>
          </w:p>
        </w:tc>
      </w:tr>
      <w:tr w:rsidR="003844C6" w:rsidRPr="007C055A" w:rsidTr="003844C6">
        <w:tc>
          <w:tcPr>
            <w:tcW w:w="7308" w:type="dxa"/>
            <w:gridSpan w:val="3"/>
            <w:shd w:val="clear" w:color="auto" w:fill="A6A6A6"/>
          </w:tcPr>
          <w:p w:rsidR="003844C6" w:rsidRPr="007C055A" w:rsidRDefault="003844C6" w:rsidP="003844C6">
            <w:pPr>
              <w:rPr>
                <w:rFonts w:ascii="Cambria" w:hAnsi="Cambria"/>
                <w:sz w:val="22"/>
                <w:szCs w:val="22"/>
              </w:rPr>
            </w:pPr>
            <w:r w:rsidRPr="007C055A">
              <w:rPr>
                <w:rFonts w:ascii="Cambria" w:hAnsi="Cambria"/>
                <w:b/>
                <w:sz w:val="22"/>
                <w:szCs w:val="22"/>
              </w:rPr>
              <w:t>Stipends &amp; Housing</w:t>
            </w:r>
          </w:p>
        </w:tc>
        <w:tc>
          <w:tcPr>
            <w:tcW w:w="1548" w:type="dxa"/>
            <w:shd w:val="clear" w:color="auto" w:fill="A6A6A6"/>
          </w:tcPr>
          <w:p w:rsidR="003844C6" w:rsidRPr="007C055A" w:rsidRDefault="003844C6" w:rsidP="003844C6">
            <w:pPr>
              <w:rPr>
                <w:rFonts w:ascii="Cambria" w:hAnsi="Cambria"/>
                <w:b/>
                <w:sz w:val="22"/>
                <w:szCs w:val="22"/>
              </w:rPr>
            </w:pPr>
            <w:r w:rsidRPr="007C055A">
              <w:rPr>
                <w:rFonts w:ascii="Cambria" w:hAnsi="Cambria"/>
                <w:b/>
                <w:sz w:val="22"/>
                <w:szCs w:val="22"/>
              </w:rPr>
              <w:t>$</w:t>
            </w:r>
            <w:r>
              <w:rPr>
                <w:rFonts w:ascii="Cambria" w:hAnsi="Cambria"/>
                <w:b/>
                <w:sz w:val="22"/>
                <w:szCs w:val="22"/>
              </w:rPr>
              <w:t>7600</w:t>
            </w:r>
          </w:p>
        </w:tc>
      </w:tr>
      <w:tr w:rsidR="003844C6" w:rsidRPr="007C055A" w:rsidTr="003844C6">
        <w:tc>
          <w:tcPr>
            <w:tcW w:w="3708" w:type="dxa"/>
            <w:gridSpan w:val="2"/>
            <w:shd w:val="clear" w:color="auto" w:fill="auto"/>
          </w:tcPr>
          <w:p w:rsidR="003844C6" w:rsidRPr="007C055A" w:rsidRDefault="003844C6" w:rsidP="003844C6">
            <w:pPr>
              <w:rPr>
                <w:rFonts w:ascii="Cambria" w:hAnsi="Cambria"/>
                <w:sz w:val="22"/>
                <w:szCs w:val="22"/>
              </w:rPr>
            </w:pPr>
            <w:r w:rsidRPr="007C055A">
              <w:rPr>
                <w:rFonts w:ascii="Cambria" w:hAnsi="Cambria"/>
                <w:sz w:val="22"/>
                <w:szCs w:val="22"/>
              </w:rPr>
              <w:t>Faculty Stipend</w:t>
            </w:r>
          </w:p>
        </w:tc>
        <w:tc>
          <w:tcPr>
            <w:tcW w:w="3600" w:type="dxa"/>
            <w:shd w:val="clear" w:color="auto" w:fill="auto"/>
          </w:tcPr>
          <w:p w:rsidR="003844C6" w:rsidRPr="007C055A" w:rsidRDefault="003844C6" w:rsidP="003844C6">
            <w:pPr>
              <w:rPr>
                <w:rFonts w:ascii="Cambria" w:hAnsi="Cambria"/>
                <w:sz w:val="22"/>
                <w:szCs w:val="22"/>
              </w:rPr>
            </w:pPr>
            <w:r w:rsidRPr="007C055A">
              <w:rPr>
                <w:rFonts w:ascii="Cambria" w:hAnsi="Cambria"/>
                <w:sz w:val="22"/>
                <w:szCs w:val="22"/>
              </w:rPr>
              <w:t>$300 per week, up to $3,000 for a maximum of 10 weeks</w:t>
            </w:r>
          </w:p>
        </w:tc>
        <w:tc>
          <w:tcPr>
            <w:tcW w:w="1548" w:type="dxa"/>
            <w:shd w:val="clear" w:color="auto" w:fill="auto"/>
          </w:tcPr>
          <w:p w:rsidR="003844C6" w:rsidRPr="007C055A" w:rsidRDefault="003844C6" w:rsidP="003844C6">
            <w:pPr>
              <w:pBdr>
                <w:between w:val="single" w:sz="4" w:space="1" w:color="auto"/>
              </w:pBdr>
              <w:rPr>
                <w:rFonts w:ascii="Cambria" w:hAnsi="Cambria"/>
                <w:sz w:val="22"/>
                <w:szCs w:val="22"/>
              </w:rPr>
            </w:pPr>
            <w:r>
              <w:rPr>
                <w:rFonts w:ascii="Cambria" w:hAnsi="Cambria"/>
                <w:sz w:val="22"/>
                <w:szCs w:val="22"/>
              </w:rPr>
              <w:t>3000</w:t>
            </w:r>
          </w:p>
        </w:tc>
      </w:tr>
      <w:tr w:rsidR="003844C6" w:rsidRPr="007C055A" w:rsidTr="003844C6">
        <w:tc>
          <w:tcPr>
            <w:tcW w:w="3708" w:type="dxa"/>
            <w:gridSpan w:val="2"/>
            <w:shd w:val="clear" w:color="auto" w:fill="auto"/>
          </w:tcPr>
          <w:p w:rsidR="003844C6" w:rsidRPr="007C055A" w:rsidRDefault="003844C6" w:rsidP="003844C6">
            <w:pPr>
              <w:rPr>
                <w:rFonts w:ascii="Cambria" w:hAnsi="Cambria"/>
                <w:sz w:val="22"/>
                <w:szCs w:val="22"/>
              </w:rPr>
            </w:pPr>
            <w:r w:rsidRPr="007C055A">
              <w:rPr>
                <w:rFonts w:ascii="Cambria" w:hAnsi="Cambria"/>
                <w:sz w:val="22"/>
                <w:szCs w:val="22"/>
              </w:rPr>
              <w:t>Student Summer Stipend</w:t>
            </w:r>
          </w:p>
        </w:tc>
        <w:tc>
          <w:tcPr>
            <w:tcW w:w="3600" w:type="dxa"/>
            <w:shd w:val="clear" w:color="auto" w:fill="auto"/>
          </w:tcPr>
          <w:p w:rsidR="003844C6" w:rsidRPr="007C055A" w:rsidRDefault="003844C6" w:rsidP="003844C6">
            <w:pPr>
              <w:rPr>
                <w:rFonts w:ascii="Cambria" w:hAnsi="Cambria"/>
                <w:sz w:val="22"/>
                <w:szCs w:val="22"/>
              </w:rPr>
            </w:pPr>
            <w:r w:rsidRPr="007C055A">
              <w:rPr>
                <w:rFonts w:ascii="Cambria" w:hAnsi="Cambria"/>
                <w:sz w:val="22"/>
                <w:szCs w:val="22"/>
              </w:rPr>
              <w:t>$400 per week, up to $4,000 for a maximum of 10 weeks</w:t>
            </w:r>
          </w:p>
        </w:tc>
        <w:tc>
          <w:tcPr>
            <w:tcW w:w="1548" w:type="dxa"/>
            <w:shd w:val="clear" w:color="auto" w:fill="auto"/>
            <w:vAlign w:val="center"/>
          </w:tcPr>
          <w:p w:rsidR="003844C6" w:rsidRPr="007C055A" w:rsidRDefault="003844C6" w:rsidP="003844C6">
            <w:pPr>
              <w:rPr>
                <w:rFonts w:ascii="Cambria" w:hAnsi="Cambria"/>
                <w:sz w:val="22"/>
                <w:szCs w:val="22"/>
              </w:rPr>
            </w:pPr>
            <w:r>
              <w:rPr>
                <w:rFonts w:ascii="Cambria" w:hAnsi="Cambria"/>
                <w:sz w:val="22"/>
                <w:szCs w:val="22"/>
              </w:rPr>
              <w:t>4000</w:t>
            </w:r>
          </w:p>
        </w:tc>
      </w:tr>
      <w:tr w:rsidR="003844C6" w:rsidRPr="007C055A" w:rsidTr="003844C6">
        <w:tc>
          <w:tcPr>
            <w:tcW w:w="3708" w:type="dxa"/>
            <w:gridSpan w:val="2"/>
            <w:shd w:val="clear" w:color="auto" w:fill="auto"/>
          </w:tcPr>
          <w:p w:rsidR="003844C6" w:rsidRPr="007C055A" w:rsidRDefault="003844C6" w:rsidP="003844C6">
            <w:pPr>
              <w:rPr>
                <w:rFonts w:ascii="Cambria" w:hAnsi="Cambria"/>
                <w:sz w:val="22"/>
                <w:szCs w:val="22"/>
              </w:rPr>
            </w:pPr>
            <w:r w:rsidRPr="007C055A">
              <w:rPr>
                <w:rFonts w:ascii="Cambria" w:hAnsi="Cambria"/>
                <w:sz w:val="22"/>
                <w:szCs w:val="22"/>
              </w:rPr>
              <w:t>Student Summer Campus Housing</w:t>
            </w:r>
          </w:p>
        </w:tc>
        <w:tc>
          <w:tcPr>
            <w:tcW w:w="3600" w:type="dxa"/>
            <w:shd w:val="clear" w:color="auto" w:fill="auto"/>
          </w:tcPr>
          <w:p w:rsidR="003844C6" w:rsidRPr="007C055A" w:rsidRDefault="003844C6" w:rsidP="003844C6">
            <w:pPr>
              <w:rPr>
                <w:rFonts w:ascii="Cambria" w:hAnsi="Cambria"/>
                <w:sz w:val="22"/>
                <w:szCs w:val="22"/>
              </w:rPr>
            </w:pPr>
            <w:r w:rsidRPr="007C055A">
              <w:rPr>
                <w:rFonts w:ascii="Cambria" w:hAnsi="Cambria"/>
                <w:sz w:val="22"/>
                <w:szCs w:val="22"/>
              </w:rPr>
              <w:t>$60 per week, up to 10 weeks</w:t>
            </w:r>
          </w:p>
        </w:tc>
        <w:tc>
          <w:tcPr>
            <w:tcW w:w="1548" w:type="dxa"/>
            <w:shd w:val="clear" w:color="auto" w:fill="auto"/>
            <w:vAlign w:val="center"/>
          </w:tcPr>
          <w:p w:rsidR="003844C6" w:rsidRPr="007C055A" w:rsidRDefault="003844C6" w:rsidP="003844C6">
            <w:pPr>
              <w:rPr>
                <w:rFonts w:ascii="Cambria" w:hAnsi="Cambria"/>
                <w:sz w:val="22"/>
                <w:szCs w:val="22"/>
              </w:rPr>
            </w:pPr>
            <w:r>
              <w:rPr>
                <w:rFonts w:ascii="Cambria" w:hAnsi="Cambria"/>
                <w:sz w:val="22"/>
                <w:szCs w:val="22"/>
              </w:rPr>
              <w:t>600</w:t>
            </w:r>
          </w:p>
        </w:tc>
      </w:tr>
      <w:tr w:rsidR="003844C6" w:rsidRPr="007C055A" w:rsidTr="003844C6">
        <w:tc>
          <w:tcPr>
            <w:tcW w:w="7308" w:type="dxa"/>
            <w:gridSpan w:val="3"/>
            <w:shd w:val="clear" w:color="auto" w:fill="A6A6A6"/>
          </w:tcPr>
          <w:p w:rsidR="003844C6" w:rsidRPr="007C055A" w:rsidRDefault="003844C6" w:rsidP="003844C6">
            <w:pPr>
              <w:rPr>
                <w:rFonts w:ascii="Cambria" w:hAnsi="Cambria"/>
                <w:b/>
                <w:sz w:val="22"/>
                <w:szCs w:val="22"/>
              </w:rPr>
            </w:pPr>
            <w:r w:rsidRPr="007C055A">
              <w:rPr>
                <w:rFonts w:ascii="Cambria" w:hAnsi="Cambria"/>
                <w:b/>
                <w:sz w:val="22"/>
                <w:szCs w:val="22"/>
              </w:rPr>
              <w:t>Total Expenses</w:t>
            </w:r>
          </w:p>
          <w:p w:rsidR="003844C6" w:rsidRPr="007C055A" w:rsidRDefault="003844C6" w:rsidP="003844C6">
            <w:pPr>
              <w:rPr>
                <w:rFonts w:ascii="Cambria" w:hAnsi="Cambria"/>
                <w:sz w:val="22"/>
                <w:szCs w:val="22"/>
              </w:rPr>
            </w:pPr>
          </w:p>
        </w:tc>
        <w:tc>
          <w:tcPr>
            <w:tcW w:w="1548" w:type="dxa"/>
            <w:shd w:val="clear" w:color="auto" w:fill="A6A6A6"/>
          </w:tcPr>
          <w:p w:rsidR="003844C6" w:rsidRPr="007C055A" w:rsidRDefault="003844C6" w:rsidP="003844C6">
            <w:pPr>
              <w:rPr>
                <w:rFonts w:ascii="Cambria" w:hAnsi="Cambria"/>
                <w:b/>
                <w:sz w:val="22"/>
                <w:szCs w:val="22"/>
              </w:rPr>
            </w:pPr>
            <w:r w:rsidRPr="007C055A">
              <w:rPr>
                <w:rFonts w:ascii="Cambria" w:hAnsi="Cambria"/>
                <w:b/>
                <w:sz w:val="22"/>
                <w:szCs w:val="22"/>
              </w:rPr>
              <w:t>$</w:t>
            </w:r>
            <w:r>
              <w:rPr>
                <w:rFonts w:ascii="Cambria" w:hAnsi="Cambria"/>
                <w:b/>
                <w:sz w:val="22"/>
                <w:szCs w:val="22"/>
              </w:rPr>
              <w:t>8071</w:t>
            </w:r>
          </w:p>
        </w:tc>
      </w:tr>
      <w:tr w:rsidR="003844C6" w:rsidRPr="007C055A" w:rsidTr="003844C6">
        <w:tc>
          <w:tcPr>
            <w:tcW w:w="7308" w:type="dxa"/>
            <w:gridSpan w:val="3"/>
            <w:shd w:val="clear" w:color="auto" w:fill="auto"/>
          </w:tcPr>
          <w:p w:rsidR="003844C6" w:rsidRPr="007C055A" w:rsidRDefault="003844C6" w:rsidP="003844C6">
            <w:pPr>
              <w:rPr>
                <w:rFonts w:ascii="Cambria" w:hAnsi="Cambria"/>
                <w:sz w:val="22"/>
                <w:szCs w:val="22"/>
              </w:rPr>
            </w:pPr>
          </w:p>
        </w:tc>
        <w:tc>
          <w:tcPr>
            <w:tcW w:w="1548" w:type="dxa"/>
            <w:shd w:val="clear" w:color="auto" w:fill="auto"/>
          </w:tcPr>
          <w:p w:rsidR="003844C6" w:rsidRPr="007C055A" w:rsidRDefault="003844C6" w:rsidP="003844C6">
            <w:pPr>
              <w:rPr>
                <w:rFonts w:ascii="Cambria" w:hAnsi="Cambria"/>
                <w:sz w:val="22"/>
                <w:szCs w:val="22"/>
              </w:rPr>
            </w:pPr>
          </w:p>
        </w:tc>
      </w:tr>
      <w:tr w:rsidR="003844C6" w:rsidRPr="007C055A" w:rsidTr="003844C6">
        <w:trPr>
          <w:trHeight w:val="557"/>
        </w:trPr>
        <w:tc>
          <w:tcPr>
            <w:tcW w:w="7308" w:type="dxa"/>
            <w:gridSpan w:val="3"/>
            <w:shd w:val="clear" w:color="auto" w:fill="A6A6A6"/>
          </w:tcPr>
          <w:p w:rsidR="003844C6" w:rsidRPr="007C055A" w:rsidRDefault="003844C6" w:rsidP="003844C6">
            <w:pPr>
              <w:rPr>
                <w:rFonts w:ascii="Cambria" w:hAnsi="Cambria"/>
                <w:b/>
                <w:sz w:val="22"/>
                <w:szCs w:val="22"/>
              </w:rPr>
            </w:pPr>
            <w:r w:rsidRPr="007C055A">
              <w:rPr>
                <w:rFonts w:ascii="Cambria" w:hAnsi="Cambria"/>
                <w:b/>
                <w:sz w:val="22"/>
                <w:szCs w:val="22"/>
              </w:rPr>
              <w:t>Amount Requested (Total Expenses + Requested Stipends + Housing)</w:t>
            </w:r>
          </w:p>
          <w:p w:rsidR="003844C6" w:rsidRPr="007C055A" w:rsidRDefault="003844C6" w:rsidP="003844C6">
            <w:pPr>
              <w:rPr>
                <w:rFonts w:ascii="Cambria" w:hAnsi="Cambria"/>
                <w:b/>
                <w:sz w:val="22"/>
                <w:szCs w:val="22"/>
              </w:rPr>
            </w:pPr>
          </w:p>
        </w:tc>
        <w:tc>
          <w:tcPr>
            <w:tcW w:w="1548" w:type="dxa"/>
            <w:shd w:val="clear" w:color="auto" w:fill="A6A6A6"/>
          </w:tcPr>
          <w:p w:rsidR="003844C6" w:rsidRPr="007C055A" w:rsidRDefault="003844C6" w:rsidP="003844C6">
            <w:pPr>
              <w:rPr>
                <w:rFonts w:ascii="Cambria" w:hAnsi="Cambria"/>
                <w:b/>
                <w:sz w:val="22"/>
                <w:szCs w:val="22"/>
              </w:rPr>
            </w:pPr>
            <w:r w:rsidRPr="007C055A">
              <w:rPr>
                <w:rFonts w:ascii="Cambria" w:hAnsi="Cambria"/>
                <w:b/>
                <w:sz w:val="22"/>
                <w:szCs w:val="22"/>
              </w:rPr>
              <w:t>$</w:t>
            </w:r>
            <w:r>
              <w:rPr>
                <w:rFonts w:ascii="Cambria" w:hAnsi="Cambria"/>
                <w:b/>
                <w:sz w:val="22"/>
                <w:szCs w:val="22"/>
              </w:rPr>
              <w:t>8071</w:t>
            </w:r>
          </w:p>
        </w:tc>
      </w:tr>
    </w:tbl>
    <w:p w:rsidR="003844C6" w:rsidRPr="003844C6" w:rsidRDefault="003844C6" w:rsidP="003844C6">
      <w:pPr>
        <w:rPr>
          <w:rFonts w:ascii="Cambria" w:hAnsi="Cambria"/>
          <w:smallCaps/>
          <w:sz w:val="22"/>
          <w:szCs w:val="22"/>
        </w:rPr>
      </w:pPr>
      <w:r w:rsidRPr="0098060F">
        <w:rPr>
          <w:rFonts w:ascii="Cambria" w:hAnsi="Cambria"/>
          <w:sz w:val="22"/>
          <w:szCs w:val="22"/>
        </w:rPr>
        <w:t>Have you applied for, or received funding from, another source to help support this project?</w:t>
      </w:r>
      <w:r>
        <w:rPr>
          <w:rFonts w:ascii="Cambria" w:hAnsi="Cambria"/>
          <w:sz w:val="22"/>
          <w:szCs w:val="22"/>
        </w:rPr>
        <w:t xml:space="preserve"> </w:t>
      </w:r>
      <w:r w:rsidRPr="00C46D81">
        <w:rPr>
          <w:rFonts w:ascii="Cambria" w:hAnsi="Cambria"/>
          <w:sz w:val="22"/>
          <w:szCs w:val="22"/>
        </w:rPr>
        <w:t>(If no, skip a, b, and c below.)</w:t>
      </w:r>
      <w:r w:rsidRPr="0098060F">
        <w:rPr>
          <w:rFonts w:ascii="Cambria" w:hAnsi="Cambria"/>
          <w:sz w:val="22"/>
          <w:szCs w:val="22"/>
        </w:rPr>
        <w:t xml:space="preserve"> </w:t>
      </w:r>
    </w:p>
    <w:p w:rsidR="003844C6" w:rsidRPr="003844C6" w:rsidRDefault="003844C6" w:rsidP="003844C6">
      <w:pPr>
        <w:ind w:left="720" w:hanging="360"/>
        <w:rPr>
          <w:rFonts w:ascii="Cambria" w:eastAsia="MS Gothic" w:hAnsi="Cambria"/>
          <w:color w:val="000000"/>
          <w:sz w:val="20"/>
          <w:szCs w:val="20"/>
        </w:rPr>
      </w:pPr>
      <w:r w:rsidRPr="003844C6">
        <w:rPr>
          <w:rFonts w:ascii="Menlo Bold" w:eastAsia="MS Gothic" w:hAnsi="Menlo Bold" w:cs="Menlo Bold"/>
          <w:color w:val="000000"/>
          <w:sz w:val="20"/>
          <w:szCs w:val="20"/>
        </w:rPr>
        <w:t>☐x</w:t>
      </w:r>
      <w:r w:rsidRPr="003844C6">
        <w:rPr>
          <w:rFonts w:ascii="Cambria" w:eastAsia="MS Gothic" w:hAnsi="Cambria"/>
          <w:color w:val="000000"/>
          <w:sz w:val="20"/>
          <w:szCs w:val="20"/>
        </w:rPr>
        <w:t xml:space="preserve"> Yes</w:t>
      </w:r>
    </w:p>
    <w:p w:rsidR="003844C6" w:rsidRPr="003844C6" w:rsidRDefault="003844C6" w:rsidP="003844C6">
      <w:pPr>
        <w:ind w:left="720" w:hanging="360"/>
        <w:rPr>
          <w:rFonts w:ascii="Cambria" w:hAnsi="Cambria"/>
          <w:b/>
          <w:sz w:val="20"/>
          <w:szCs w:val="20"/>
        </w:rPr>
      </w:pPr>
      <w:r w:rsidRPr="003844C6">
        <w:rPr>
          <w:rFonts w:ascii="Menlo Bold" w:eastAsia="MS Gothic" w:hAnsi="Menlo Bold" w:cs="Menlo Bold"/>
          <w:color w:val="000000"/>
          <w:sz w:val="20"/>
          <w:szCs w:val="20"/>
        </w:rPr>
        <w:t>☐</w:t>
      </w:r>
      <w:r w:rsidRPr="003844C6">
        <w:rPr>
          <w:rFonts w:ascii="Cambria" w:eastAsia="MS Gothic" w:hAnsi="Cambria"/>
          <w:color w:val="000000"/>
          <w:sz w:val="20"/>
          <w:szCs w:val="20"/>
        </w:rPr>
        <w:t xml:space="preserve"> No</w:t>
      </w:r>
    </w:p>
    <w:p w:rsidR="003844C6" w:rsidRDefault="003844C6" w:rsidP="003844C6">
      <w:pPr>
        <w:rPr>
          <w:rFonts w:ascii="Cambria" w:hAnsi="Cambria"/>
          <w:b/>
          <w:sz w:val="22"/>
          <w:szCs w:val="22"/>
        </w:rPr>
      </w:pPr>
    </w:p>
    <w:p w:rsidR="003844C6" w:rsidRPr="003844C6" w:rsidRDefault="003844C6" w:rsidP="003844C6">
      <w:pPr>
        <w:rPr>
          <w:rFonts w:ascii="Cambria" w:hAnsi="Cambria"/>
          <w:b/>
          <w:i/>
          <w:sz w:val="20"/>
          <w:szCs w:val="20"/>
        </w:rPr>
      </w:pPr>
      <w:r w:rsidRPr="003844C6">
        <w:rPr>
          <w:rFonts w:ascii="Cambria" w:hAnsi="Cambria"/>
          <w:b/>
          <w:i/>
          <w:sz w:val="20"/>
          <w:szCs w:val="20"/>
        </w:rPr>
        <w:t>I asked the Center for Servant Leadership for funding.  They express</w:t>
      </w:r>
      <w:r w:rsidR="004240FD">
        <w:rPr>
          <w:rFonts w:ascii="Cambria" w:hAnsi="Cambria"/>
          <w:b/>
          <w:i/>
          <w:sz w:val="20"/>
          <w:szCs w:val="20"/>
        </w:rPr>
        <w:t>ed support but cannot provide financial assistance</w:t>
      </w:r>
      <w:r w:rsidRPr="003844C6">
        <w:rPr>
          <w:rFonts w:ascii="Cambria" w:hAnsi="Cambria"/>
          <w:b/>
          <w:i/>
          <w:sz w:val="20"/>
          <w:szCs w:val="20"/>
        </w:rPr>
        <w:t>.</w:t>
      </w:r>
    </w:p>
    <w:p w:rsidR="003844C6" w:rsidRPr="003844C6" w:rsidRDefault="003844C6" w:rsidP="003844C6">
      <w:pPr>
        <w:rPr>
          <w:rFonts w:ascii="Cambria" w:hAnsi="Cambria"/>
          <w:i/>
          <w:sz w:val="22"/>
          <w:szCs w:val="22"/>
        </w:rPr>
      </w:pPr>
    </w:p>
    <w:p w:rsidR="003844C6" w:rsidRPr="0098060F" w:rsidRDefault="003844C6" w:rsidP="003844C6">
      <w:pPr>
        <w:numPr>
          <w:ilvl w:val="0"/>
          <w:numId w:val="8"/>
        </w:numPr>
        <w:ind w:left="360"/>
        <w:rPr>
          <w:rFonts w:ascii="Cambria" w:hAnsi="Cambria"/>
          <w:sz w:val="22"/>
          <w:szCs w:val="22"/>
        </w:rPr>
      </w:pPr>
      <w:r w:rsidRPr="0098060F">
        <w:rPr>
          <w:rFonts w:ascii="Cambria" w:hAnsi="Cambria"/>
          <w:sz w:val="22"/>
          <w:szCs w:val="22"/>
        </w:rPr>
        <w:t xml:space="preserve">Funding Source:  </w:t>
      </w:r>
    </w:p>
    <w:p w:rsidR="003844C6" w:rsidRDefault="003844C6" w:rsidP="003844C6">
      <w:pPr>
        <w:numPr>
          <w:ilvl w:val="0"/>
          <w:numId w:val="8"/>
        </w:numPr>
        <w:ind w:left="360"/>
        <w:rPr>
          <w:rFonts w:ascii="Cambria" w:hAnsi="Cambria"/>
          <w:sz w:val="22"/>
          <w:szCs w:val="22"/>
        </w:rPr>
      </w:pPr>
      <w:r w:rsidRPr="0098060F">
        <w:rPr>
          <w:rFonts w:ascii="Cambria" w:hAnsi="Cambria"/>
          <w:sz w:val="22"/>
          <w:szCs w:val="22"/>
        </w:rPr>
        <w:t xml:space="preserve">Amount: </w:t>
      </w:r>
    </w:p>
    <w:p w:rsidR="003844C6" w:rsidRPr="00C46D81" w:rsidRDefault="003844C6" w:rsidP="003844C6">
      <w:pPr>
        <w:numPr>
          <w:ilvl w:val="0"/>
          <w:numId w:val="8"/>
        </w:numPr>
        <w:ind w:left="360"/>
        <w:rPr>
          <w:rFonts w:ascii="Cambria" w:hAnsi="Cambria"/>
          <w:sz w:val="22"/>
          <w:szCs w:val="22"/>
        </w:rPr>
      </w:pPr>
      <w:r w:rsidRPr="007C055A">
        <w:rPr>
          <w:rFonts w:ascii="Cambria" w:hAnsi="Cambria"/>
          <w:sz w:val="22"/>
          <w:szCs w:val="22"/>
        </w:rPr>
        <w:t>Please explain how the Presidential grant will be used in addition to the other funding, and (if relevant), how the Presidential grant project would be impacted if external funding is not approved</w:t>
      </w:r>
      <w:r w:rsidRPr="007C055A">
        <w:rPr>
          <w:rFonts w:ascii="Cambria" w:hAnsi="Cambria"/>
          <w:b/>
          <w:sz w:val="22"/>
          <w:szCs w:val="22"/>
        </w:rPr>
        <w:t>.</w:t>
      </w:r>
    </w:p>
    <w:p w:rsidR="002D060A" w:rsidRPr="00F00BAE" w:rsidRDefault="002D060A">
      <w:pPr>
        <w:rPr>
          <w:color w:val="000000"/>
          <w:sz w:val="22"/>
          <w:szCs w:val="22"/>
        </w:rPr>
      </w:pPr>
    </w:p>
    <w:sectPr w:rsidR="002D060A" w:rsidRPr="00F00BAE" w:rsidSect="0070706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00A" w:rsidRDefault="0000500A" w:rsidP="0066538E">
      <w:r>
        <w:separator/>
      </w:r>
    </w:p>
  </w:endnote>
  <w:endnote w:type="continuationSeparator" w:id="0">
    <w:p w:rsidR="0000500A" w:rsidRDefault="0000500A" w:rsidP="0066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nlo Bold">
    <w:altName w:val="Arial"/>
    <w:charset w:val="00"/>
    <w:family w:val="auto"/>
    <w:pitch w:val="variable"/>
    <w:sig w:usb0="00000000" w:usb1="D000F1FB" w:usb2="00000028"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00A" w:rsidRDefault="0000500A" w:rsidP="0066538E">
      <w:r>
        <w:separator/>
      </w:r>
    </w:p>
  </w:footnote>
  <w:footnote w:type="continuationSeparator" w:id="0">
    <w:p w:rsidR="0000500A" w:rsidRDefault="0000500A" w:rsidP="0066538E">
      <w:r>
        <w:continuationSeparator/>
      </w:r>
    </w:p>
  </w:footnote>
  <w:footnote w:id="1">
    <w:p w:rsidR="00536418" w:rsidRPr="001B2F5D" w:rsidRDefault="00536418" w:rsidP="001B2F5D">
      <w:pPr>
        <w:pStyle w:val="FootnoteText"/>
        <w:spacing w:line="220" w:lineRule="exact"/>
        <w:rPr>
          <w:sz w:val="20"/>
          <w:szCs w:val="20"/>
        </w:rPr>
      </w:pPr>
      <w:r w:rsidRPr="009B57E7">
        <w:rPr>
          <w:rStyle w:val="FootnoteReference"/>
          <w:sz w:val="22"/>
          <w:szCs w:val="22"/>
        </w:rPr>
        <w:footnoteRef/>
      </w:r>
      <w:r w:rsidRPr="009B57E7">
        <w:rPr>
          <w:sz w:val="22"/>
          <w:szCs w:val="22"/>
        </w:rPr>
        <w:t xml:space="preserve"> </w:t>
      </w:r>
      <w:r w:rsidRPr="001B2F5D">
        <w:rPr>
          <w:sz w:val="20"/>
          <w:szCs w:val="20"/>
        </w:rPr>
        <w:t>College Senior Survey, Higher Education Research Institute, Home of the Cooperative Institutional Research Program, accessed February 12, 2014, http://www.heri.ucla.edu/cssoverview.php.</w:t>
      </w:r>
    </w:p>
  </w:footnote>
  <w:footnote w:id="2">
    <w:p w:rsidR="00536418" w:rsidRDefault="00536418" w:rsidP="001B2F5D">
      <w:pPr>
        <w:pStyle w:val="FootnoteText"/>
        <w:spacing w:line="220" w:lineRule="exact"/>
      </w:pPr>
      <w:r w:rsidRPr="001B2F5D">
        <w:rPr>
          <w:rStyle w:val="FootnoteReference"/>
          <w:sz w:val="20"/>
          <w:szCs w:val="20"/>
        </w:rPr>
        <w:footnoteRef/>
      </w:r>
      <w:r w:rsidRPr="001B2F5D">
        <w:rPr>
          <w:sz w:val="20"/>
          <w:szCs w:val="20"/>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18" w:rsidRPr="00F00BAE" w:rsidRDefault="00536418" w:rsidP="00300302">
    <w:pPr>
      <w:rPr>
        <w:sz w:val="22"/>
        <w:szCs w:val="22"/>
      </w:rPr>
    </w:pPr>
    <w:r w:rsidRPr="00F00BAE">
      <w:rPr>
        <w:sz w:val="22"/>
        <w:szCs w:val="22"/>
      </w:rPr>
      <w:t xml:space="preserve">Presidential Faculty/Student Collaboration Grant    </w:t>
    </w:r>
  </w:p>
  <w:p w:rsidR="00536418" w:rsidRPr="00F00BAE" w:rsidRDefault="00536418" w:rsidP="00300302">
    <w:pPr>
      <w:rPr>
        <w:sz w:val="22"/>
        <w:szCs w:val="22"/>
      </w:rPr>
    </w:pPr>
    <w:r w:rsidRPr="00F00BAE">
      <w:rPr>
        <w:sz w:val="22"/>
        <w:szCs w:val="22"/>
      </w:rPr>
      <w:t>Leila Brammer/Mariah Wika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2EC2"/>
    <w:multiLevelType w:val="hybridMultilevel"/>
    <w:tmpl w:val="EB7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B0BD4"/>
    <w:multiLevelType w:val="hybridMultilevel"/>
    <w:tmpl w:val="556A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76E79"/>
    <w:multiLevelType w:val="hybridMultilevel"/>
    <w:tmpl w:val="CBFC0676"/>
    <w:lvl w:ilvl="0" w:tplc="2EE8C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46DE1"/>
    <w:multiLevelType w:val="hybridMultilevel"/>
    <w:tmpl w:val="3698CF98"/>
    <w:lvl w:ilvl="0" w:tplc="2EE8CC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A518C4"/>
    <w:multiLevelType w:val="hybridMultilevel"/>
    <w:tmpl w:val="CDB42B80"/>
    <w:lvl w:ilvl="0" w:tplc="9514C99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6F23723E"/>
    <w:multiLevelType w:val="hybridMultilevel"/>
    <w:tmpl w:val="FE9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E2BF6"/>
    <w:multiLevelType w:val="hybridMultilevel"/>
    <w:tmpl w:val="9F28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2767B"/>
    <w:multiLevelType w:val="hybridMultilevel"/>
    <w:tmpl w:val="1E46B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6C"/>
    <w:rsid w:val="0000500A"/>
    <w:rsid w:val="0001265B"/>
    <w:rsid w:val="00025166"/>
    <w:rsid w:val="000B2650"/>
    <w:rsid w:val="000B3F2C"/>
    <w:rsid w:val="000C7531"/>
    <w:rsid w:val="000D3D9E"/>
    <w:rsid w:val="000D53FC"/>
    <w:rsid w:val="0011088E"/>
    <w:rsid w:val="00191D0A"/>
    <w:rsid w:val="001B2F5D"/>
    <w:rsid w:val="001D6F05"/>
    <w:rsid w:val="00206EE5"/>
    <w:rsid w:val="00250BFD"/>
    <w:rsid w:val="00255C12"/>
    <w:rsid w:val="00255E73"/>
    <w:rsid w:val="00265B0C"/>
    <w:rsid w:val="00275498"/>
    <w:rsid w:val="002824F3"/>
    <w:rsid w:val="00282D9F"/>
    <w:rsid w:val="00287AEF"/>
    <w:rsid w:val="00290BAC"/>
    <w:rsid w:val="00295A2E"/>
    <w:rsid w:val="00296E4E"/>
    <w:rsid w:val="002A13E2"/>
    <w:rsid w:val="002B44AE"/>
    <w:rsid w:val="002C01A4"/>
    <w:rsid w:val="002D060A"/>
    <w:rsid w:val="00300302"/>
    <w:rsid w:val="00304D11"/>
    <w:rsid w:val="00305ABB"/>
    <w:rsid w:val="00344C87"/>
    <w:rsid w:val="0036483B"/>
    <w:rsid w:val="00382908"/>
    <w:rsid w:val="003844C6"/>
    <w:rsid w:val="003C1C5D"/>
    <w:rsid w:val="0040355B"/>
    <w:rsid w:val="00411477"/>
    <w:rsid w:val="004240FD"/>
    <w:rsid w:val="00434352"/>
    <w:rsid w:val="004A2F14"/>
    <w:rsid w:val="004B3C09"/>
    <w:rsid w:val="004E0848"/>
    <w:rsid w:val="00501A86"/>
    <w:rsid w:val="0052671C"/>
    <w:rsid w:val="00536418"/>
    <w:rsid w:val="005748D5"/>
    <w:rsid w:val="00597816"/>
    <w:rsid w:val="005E4860"/>
    <w:rsid w:val="005E4D6E"/>
    <w:rsid w:val="005E7818"/>
    <w:rsid w:val="006236D3"/>
    <w:rsid w:val="006437D9"/>
    <w:rsid w:val="0066538E"/>
    <w:rsid w:val="0070706C"/>
    <w:rsid w:val="00713462"/>
    <w:rsid w:val="00730DB1"/>
    <w:rsid w:val="00732FD6"/>
    <w:rsid w:val="00735F87"/>
    <w:rsid w:val="00757B90"/>
    <w:rsid w:val="007A285D"/>
    <w:rsid w:val="008126CE"/>
    <w:rsid w:val="008224B7"/>
    <w:rsid w:val="00825124"/>
    <w:rsid w:val="00835B6A"/>
    <w:rsid w:val="008731B0"/>
    <w:rsid w:val="00875A38"/>
    <w:rsid w:val="008A002C"/>
    <w:rsid w:val="008B5EBC"/>
    <w:rsid w:val="008F6C49"/>
    <w:rsid w:val="00901A15"/>
    <w:rsid w:val="00917F4A"/>
    <w:rsid w:val="009858BA"/>
    <w:rsid w:val="009B57E7"/>
    <w:rsid w:val="009E052E"/>
    <w:rsid w:val="00A22E47"/>
    <w:rsid w:val="00A4502F"/>
    <w:rsid w:val="00A819D1"/>
    <w:rsid w:val="00A84555"/>
    <w:rsid w:val="00AA389D"/>
    <w:rsid w:val="00AA60DA"/>
    <w:rsid w:val="00B602E2"/>
    <w:rsid w:val="00B60EB9"/>
    <w:rsid w:val="00BA0E9C"/>
    <w:rsid w:val="00BB6EA2"/>
    <w:rsid w:val="00C0493B"/>
    <w:rsid w:val="00C314DA"/>
    <w:rsid w:val="00C35349"/>
    <w:rsid w:val="00C504B3"/>
    <w:rsid w:val="00C54327"/>
    <w:rsid w:val="00C76D1A"/>
    <w:rsid w:val="00CB1700"/>
    <w:rsid w:val="00CD288D"/>
    <w:rsid w:val="00CD3CEB"/>
    <w:rsid w:val="00CF1404"/>
    <w:rsid w:val="00CF7763"/>
    <w:rsid w:val="00D72C83"/>
    <w:rsid w:val="00D80145"/>
    <w:rsid w:val="00D923D6"/>
    <w:rsid w:val="00DA23BD"/>
    <w:rsid w:val="00DB2F45"/>
    <w:rsid w:val="00DF1858"/>
    <w:rsid w:val="00E71AEE"/>
    <w:rsid w:val="00EA0B5B"/>
    <w:rsid w:val="00EC1DA3"/>
    <w:rsid w:val="00EC6E46"/>
    <w:rsid w:val="00F0054D"/>
    <w:rsid w:val="00F00BAE"/>
    <w:rsid w:val="00F0492A"/>
    <w:rsid w:val="00F05A49"/>
    <w:rsid w:val="00F16693"/>
    <w:rsid w:val="00F333DA"/>
    <w:rsid w:val="00F9301B"/>
    <w:rsid w:val="00FC673C"/>
    <w:rsid w:val="00FD0873"/>
    <w:rsid w:val="00FD537B"/>
    <w:rsid w:val="00FE42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538E"/>
  </w:style>
  <w:style w:type="character" w:customStyle="1" w:styleId="FootnoteTextChar">
    <w:name w:val="Footnote Text Char"/>
    <w:basedOn w:val="DefaultParagraphFont"/>
    <w:link w:val="FootnoteText"/>
    <w:uiPriority w:val="99"/>
    <w:rsid w:val="0066538E"/>
    <w:rPr>
      <w:rFonts w:ascii="Times New Roman" w:eastAsia="Times New Roman" w:hAnsi="Times New Roman" w:cs="Times New Roman"/>
    </w:rPr>
  </w:style>
  <w:style w:type="character" w:styleId="FootnoteReference">
    <w:name w:val="footnote reference"/>
    <w:basedOn w:val="DefaultParagraphFont"/>
    <w:uiPriority w:val="99"/>
    <w:unhideWhenUsed/>
    <w:rsid w:val="0066538E"/>
    <w:rPr>
      <w:vertAlign w:val="superscript"/>
    </w:rPr>
  </w:style>
  <w:style w:type="paragraph" w:styleId="BodyText">
    <w:name w:val="Body Text"/>
    <w:basedOn w:val="Normal"/>
    <w:link w:val="BodyTextChar"/>
    <w:semiHidden/>
    <w:rsid w:val="00713462"/>
    <w:pPr>
      <w:spacing w:after="120"/>
    </w:pPr>
    <w:rPr>
      <w:sz w:val="20"/>
      <w:szCs w:val="20"/>
    </w:rPr>
  </w:style>
  <w:style w:type="character" w:customStyle="1" w:styleId="BodyTextChar">
    <w:name w:val="Body Text Char"/>
    <w:basedOn w:val="DefaultParagraphFont"/>
    <w:link w:val="BodyText"/>
    <w:semiHidden/>
    <w:rsid w:val="0071346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713462"/>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713462"/>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71346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13462"/>
    <w:rPr>
      <w:rFonts w:ascii="Consolas" w:eastAsiaTheme="minorHAnsi" w:hAnsi="Consolas"/>
      <w:sz w:val="21"/>
      <w:szCs w:val="21"/>
    </w:rPr>
  </w:style>
  <w:style w:type="character" w:styleId="Hyperlink">
    <w:name w:val="Hyperlink"/>
    <w:rsid w:val="003C1C5D"/>
    <w:rPr>
      <w:color w:val="0000FF"/>
      <w:u w:val="single"/>
    </w:rPr>
  </w:style>
  <w:style w:type="paragraph" w:styleId="Header">
    <w:name w:val="header"/>
    <w:basedOn w:val="Normal"/>
    <w:link w:val="HeaderChar"/>
    <w:uiPriority w:val="99"/>
    <w:unhideWhenUsed/>
    <w:rsid w:val="00300302"/>
    <w:pPr>
      <w:tabs>
        <w:tab w:val="center" w:pos="4320"/>
        <w:tab w:val="right" w:pos="8640"/>
      </w:tabs>
    </w:pPr>
  </w:style>
  <w:style w:type="character" w:customStyle="1" w:styleId="HeaderChar">
    <w:name w:val="Header Char"/>
    <w:basedOn w:val="DefaultParagraphFont"/>
    <w:link w:val="Header"/>
    <w:uiPriority w:val="99"/>
    <w:rsid w:val="00300302"/>
    <w:rPr>
      <w:rFonts w:ascii="Times New Roman" w:eastAsia="Times New Roman" w:hAnsi="Times New Roman" w:cs="Times New Roman"/>
    </w:rPr>
  </w:style>
  <w:style w:type="paragraph" w:styleId="Footer">
    <w:name w:val="footer"/>
    <w:basedOn w:val="Normal"/>
    <w:link w:val="FooterChar"/>
    <w:uiPriority w:val="99"/>
    <w:unhideWhenUsed/>
    <w:rsid w:val="00300302"/>
    <w:pPr>
      <w:tabs>
        <w:tab w:val="center" w:pos="4320"/>
        <w:tab w:val="right" w:pos="8640"/>
      </w:tabs>
    </w:pPr>
  </w:style>
  <w:style w:type="character" w:customStyle="1" w:styleId="FooterChar">
    <w:name w:val="Footer Char"/>
    <w:basedOn w:val="DefaultParagraphFont"/>
    <w:link w:val="Footer"/>
    <w:uiPriority w:val="99"/>
    <w:rsid w:val="0030030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4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555"/>
    <w:rPr>
      <w:rFonts w:ascii="Lucida Grande" w:eastAsia="Times New Roman" w:hAnsi="Lucida Grande" w:cs="Lucida Grande"/>
      <w:sz w:val="18"/>
      <w:szCs w:val="18"/>
    </w:rPr>
  </w:style>
  <w:style w:type="paragraph" w:styleId="ListParagraph">
    <w:name w:val="List Paragraph"/>
    <w:basedOn w:val="Normal"/>
    <w:uiPriority w:val="34"/>
    <w:qFormat/>
    <w:rsid w:val="00501A86"/>
    <w:pPr>
      <w:ind w:left="720"/>
      <w:contextualSpacing/>
    </w:pPr>
    <w:rPr>
      <w:sz w:val="20"/>
      <w:szCs w:val="20"/>
      <w:lang w:eastAsia="ja-JP"/>
    </w:rPr>
  </w:style>
  <w:style w:type="character" w:styleId="CommentReference">
    <w:name w:val="annotation reference"/>
    <w:basedOn w:val="DefaultParagraphFont"/>
    <w:uiPriority w:val="99"/>
    <w:semiHidden/>
    <w:unhideWhenUsed/>
    <w:rsid w:val="005E7818"/>
    <w:rPr>
      <w:sz w:val="16"/>
      <w:szCs w:val="16"/>
    </w:rPr>
  </w:style>
  <w:style w:type="paragraph" w:styleId="CommentText">
    <w:name w:val="annotation text"/>
    <w:basedOn w:val="Normal"/>
    <w:link w:val="CommentTextChar"/>
    <w:uiPriority w:val="99"/>
    <w:semiHidden/>
    <w:unhideWhenUsed/>
    <w:rsid w:val="005E7818"/>
    <w:rPr>
      <w:sz w:val="20"/>
      <w:szCs w:val="20"/>
    </w:rPr>
  </w:style>
  <w:style w:type="character" w:customStyle="1" w:styleId="CommentTextChar">
    <w:name w:val="Comment Text Char"/>
    <w:basedOn w:val="DefaultParagraphFont"/>
    <w:link w:val="CommentText"/>
    <w:uiPriority w:val="99"/>
    <w:semiHidden/>
    <w:rsid w:val="005E78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7818"/>
    <w:rPr>
      <w:b/>
      <w:bCs/>
    </w:rPr>
  </w:style>
  <w:style w:type="character" w:customStyle="1" w:styleId="CommentSubjectChar">
    <w:name w:val="Comment Subject Char"/>
    <w:basedOn w:val="CommentTextChar"/>
    <w:link w:val="CommentSubject"/>
    <w:uiPriority w:val="99"/>
    <w:semiHidden/>
    <w:rsid w:val="005E7818"/>
    <w:rPr>
      <w:rFonts w:ascii="Times New Roman" w:eastAsia="Times New Roman" w:hAnsi="Times New Roman" w:cs="Times New Roman"/>
      <w:b/>
      <w:bCs/>
      <w:sz w:val="20"/>
      <w:szCs w:val="20"/>
    </w:rPr>
  </w:style>
  <w:style w:type="paragraph" w:styleId="Revision">
    <w:name w:val="Revision"/>
    <w:hidden/>
    <w:uiPriority w:val="99"/>
    <w:semiHidden/>
    <w:rsid w:val="00EC6E4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538E"/>
  </w:style>
  <w:style w:type="character" w:customStyle="1" w:styleId="FootnoteTextChar">
    <w:name w:val="Footnote Text Char"/>
    <w:basedOn w:val="DefaultParagraphFont"/>
    <w:link w:val="FootnoteText"/>
    <w:uiPriority w:val="99"/>
    <w:rsid w:val="0066538E"/>
    <w:rPr>
      <w:rFonts w:ascii="Times New Roman" w:eastAsia="Times New Roman" w:hAnsi="Times New Roman" w:cs="Times New Roman"/>
    </w:rPr>
  </w:style>
  <w:style w:type="character" w:styleId="FootnoteReference">
    <w:name w:val="footnote reference"/>
    <w:basedOn w:val="DefaultParagraphFont"/>
    <w:uiPriority w:val="99"/>
    <w:unhideWhenUsed/>
    <w:rsid w:val="0066538E"/>
    <w:rPr>
      <w:vertAlign w:val="superscript"/>
    </w:rPr>
  </w:style>
  <w:style w:type="paragraph" w:styleId="BodyText">
    <w:name w:val="Body Text"/>
    <w:basedOn w:val="Normal"/>
    <w:link w:val="BodyTextChar"/>
    <w:semiHidden/>
    <w:rsid w:val="00713462"/>
    <w:pPr>
      <w:spacing w:after="120"/>
    </w:pPr>
    <w:rPr>
      <w:sz w:val="20"/>
      <w:szCs w:val="20"/>
    </w:rPr>
  </w:style>
  <w:style w:type="character" w:customStyle="1" w:styleId="BodyTextChar">
    <w:name w:val="Body Text Char"/>
    <w:basedOn w:val="DefaultParagraphFont"/>
    <w:link w:val="BodyText"/>
    <w:semiHidden/>
    <w:rsid w:val="0071346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713462"/>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713462"/>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71346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13462"/>
    <w:rPr>
      <w:rFonts w:ascii="Consolas" w:eastAsiaTheme="minorHAnsi" w:hAnsi="Consolas"/>
      <w:sz w:val="21"/>
      <w:szCs w:val="21"/>
    </w:rPr>
  </w:style>
  <w:style w:type="character" w:styleId="Hyperlink">
    <w:name w:val="Hyperlink"/>
    <w:rsid w:val="003C1C5D"/>
    <w:rPr>
      <w:color w:val="0000FF"/>
      <w:u w:val="single"/>
    </w:rPr>
  </w:style>
  <w:style w:type="paragraph" w:styleId="Header">
    <w:name w:val="header"/>
    <w:basedOn w:val="Normal"/>
    <w:link w:val="HeaderChar"/>
    <w:uiPriority w:val="99"/>
    <w:unhideWhenUsed/>
    <w:rsid w:val="00300302"/>
    <w:pPr>
      <w:tabs>
        <w:tab w:val="center" w:pos="4320"/>
        <w:tab w:val="right" w:pos="8640"/>
      </w:tabs>
    </w:pPr>
  </w:style>
  <w:style w:type="character" w:customStyle="1" w:styleId="HeaderChar">
    <w:name w:val="Header Char"/>
    <w:basedOn w:val="DefaultParagraphFont"/>
    <w:link w:val="Header"/>
    <w:uiPriority w:val="99"/>
    <w:rsid w:val="00300302"/>
    <w:rPr>
      <w:rFonts w:ascii="Times New Roman" w:eastAsia="Times New Roman" w:hAnsi="Times New Roman" w:cs="Times New Roman"/>
    </w:rPr>
  </w:style>
  <w:style w:type="paragraph" w:styleId="Footer">
    <w:name w:val="footer"/>
    <w:basedOn w:val="Normal"/>
    <w:link w:val="FooterChar"/>
    <w:uiPriority w:val="99"/>
    <w:unhideWhenUsed/>
    <w:rsid w:val="00300302"/>
    <w:pPr>
      <w:tabs>
        <w:tab w:val="center" w:pos="4320"/>
        <w:tab w:val="right" w:pos="8640"/>
      </w:tabs>
    </w:pPr>
  </w:style>
  <w:style w:type="character" w:customStyle="1" w:styleId="FooterChar">
    <w:name w:val="Footer Char"/>
    <w:basedOn w:val="DefaultParagraphFont"/>
    <w:link w:val="Footer"/>
    <w:uiPriority w:val="99"/>
    <w:rsid w:val="0030030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4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555"/>
    <w:rPr>
      <w:rFonts w:ascii="Lucida Grande" w:eastAsia="Times New Roman" w:hAnsi="Lucida Grande" w:cs="Lucida Grande"/>
      <w:sz w:val="18"/>
      <w:szCs w:val="18"/>
    </w:rPr>
  </w:style>
  <w:style w:type="paragraph" w:styleId="ListParagraph">
    <w:name w:val="List Paragraph"/>
    <w:basedOn w:val="Normal"/>
    <w:uiPriority w:val="34"/>
    <w:qFormat/>
    <w:rsid w:val="00501A86"/>
    <w:pPr>
      <w:ind w:left="720"/>
      <w:contextualSpacing/>
    </w:pPr>
    <w:rPr>
      <w:sz w:val="20"/>
      <w:szCs w:val="20"/>
      <w:lang w:eastAsia="ja-JP"/>
    </w:rPr>
  </w:style>
  <w:style w:type="character" w:styleId="CommentReference">
    <w:name w:val="annotation reference"/>
    <w:basedOn w:val="DefaultParagraphFont"/>
    <w:uiPriority w:val="99"/>
    <w:semiHidden/>
    <w:unhideWhenUsed/>
    <w:rsid w:val="005E7818"/>
    <w:rPr>
      <w:sz w:val="16"/>
      <w:szCs w:val="16"/>
    </w:rPr>
  </w:style>
  <w:style w:type="paragraph" w:styleId="CommentText">
    <w:name w:val="annotation text"/>
    <w:basedOn w:val="Normal"/>
    <w:link w:val="CommentTextChar"/>
    <w:uiPriority w:val="99"/>
    <w:semiHidden/>
    <w:unhideWhenUsed/>
    <w:rsid w:val="005E7818"/>
    <w:rPr>
      <w:sz w:val="20"/>
      <w:szCs w:val="20"/>
    </w:rPr>
  </w:style>
  <w:style w:type="character" w:customStyle="1" w:styleId="CommentTextChar">
    <w:name w:val="Comment Text Char"/>
    <w:basedOn w:val="DefaultParagraphFont"/>
    <w:link w:val="CommentText"/>
    <w:uiPriority w:val="99"/>
    <w:semiHidden/>
    <w:rsid w:val="005E78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7818"/>
    <w:rPr>
      <w:b/>
      <w:bCs/>
    </w:rPr>
  </w:style>
  <w:style w:type="character" w:customStyle="1" w:styleId="CommentSubjectChar">
    <w:name w:val="Comment Subject Char"/>
    <w:basedOn w:val="CommentTextChar"/>
    <w:link w:val="CommentSubject"/>
    <w:uiPriority w:val="99"/>
    <w:semiHidden/>
    <w:rsid w:val="005E7818"/>
    <w:rPr>
      <w:rFonts w:ascii="Times New Roman" w:eastAsia="Times New Roman" w:hAnsi="Times New Roman" w:cs="Times New Roman"/>
      <w:b/>
      <w:bCs/>
      <w:sz w:val="20"/>
      <w:szCs w:val="20"/>
    </w:rPr>
  </w:style>
  <w:style w:type="paragraph" w:styleId="Revision">
    <w:name w:val="Revision"/>
    <w:hidden/>
    <w:uiPriority w:val="99"/>
    <w:semiHidden/>
    <w:rsid w:val="00EC6E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stavus.edu/finance/travel.php"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blaukat@gustav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0107D-5447-4489-8737-337505A0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4099</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27410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Brammer</dc:creator>
  <cp:lastModifiedBy>Gustavus</cp:lastModifiedBy>
  <cp:revision>2</cp:revision>
  <cp:lastPrinted>2014-02-16T14:54:00Z</cp:lastPrinted>
  <dcterms:created xsi:type="dcterms:W3CDTF">2014-02-24T16:39:00Z</dcterms:created>
  <dcterms:modified xsi:type="dcterms:W3CDTF">2014-02-24T16:39:00Z</dcterms:modified>
</cp:coreProperties>
</file>