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F7" w:rsidRDefault="00D3768A" w:rsidP="00D3768A">
      <w:pPr>
        <w:jc w:val="center"/>
        <w:rPr>
          <w:rFonts w:ascii="Times New Roman" w:eastAsia="Times New Roman" w:hAnsi="Times New Roman" w:cs="Times New Roman"/>
        </w:rPr>
      </w:pPr>
      <w:r>
        <w:rPr>
          <w:rFonts w:ascii="Times New Roman" w:eastAsia="Times New Roman" w:hAnsi="Times New Roman" w:cs="Times New Roman"/>
        </w:rPr>
        <w:t>Non-English Languages and Cultures Rubric DRAFT</w:t>
      </w:r>
    </w:p>
    <w:p w:rsidR="00D3768A" w:rsidRDefault="00D3768A" w:rsidP="00D3768A">
      <w:pPr>
        <w:jc w:val="center"/>
        <w:rPr>
          <w:rFonts w:ascii="Times New Roman" w:eastAsia="Times New Roman" w:hAnsi="Times New Roman" w:cs="Times New Roman"/>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365"/>
        <w:gridCol w:w="2160"/>
        <w:gridCol w:w="2160"/>
        <w:gridCol w:w="2865"/>
        <w:gridCol w:w="1455"/>
      </w:tblGrid>
      <w:tr w:rsidR="00E326F7">
        <w:tc>
          <w:tcPr>
            <w:tcW w:w="2955" w:type="dxa"/>
            <w:shd w:val="clear" w:color="auto" w:fill="auto"/>
            <w:tcMar>
              <w:top w:w="100" w:type="dxa"/>
              <w:left w:w="100" w:type="dxa"/>
              <w:bottom w:w="100" w:type="dxa"/>
              <w:right w:w="100" w:type="dxa"/>
            </w:tcMar>
          </w:tcPr>
          <w:p w:rsidR="00E326F7" w:rsidRDefault="003548A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SLO:</w:t>
            </w:r>
          </w:p>
          <w:p w:rsidR="00E326F7" w:rsidRDefault="00E326F7">
            <w:pPr>
              <w:widowControl w:val="0"/>
              <w:pBdr>
                <w:top w:val="nil"/>
                <w:left w:val="nil"/>
                <w:bottom w:val="nil"/>
                <w:right w:val="nil"/>
                <w:between w:val="nil"/>
              </w:pBdr>
              <w:spacing w:line="240" w:lineRule="auto"/>
              <w:rPr>
                <w:rFonts w:ascii="Times New Roman" w:eastAsia="Times New Roman" w:hAnsi="Times New Roman" w:cs="Times New Roman"/>
              </w:rPr>
            </w:pPr>
          </w:p>
          <w:p w:rsidR="00E326F7" w:rsidRDefault="003548A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Students will:</w:t>
            </w:r>
          </w:p>
        </w:tc>
        <w:tc>
          <w:tcPr>
            <w:tcW w:w="1365" w:type="dxa"/>
            <w:shd w:val="clear" w:color="auto" w:fill="auto"/>
            <w:tcMar>
              <w:top w:w="100" w:type="dxa"/>
              <w:left w:w="100" w:type="dxa"/>
              <w:bottom w:w="100" w:type="dxa"/>
              <w:right w:w="100" w:type="dxa"/>
            </w:tcMar>
          </w:tcPr>
          <w:p w:rsidR="00E326F7" w:rsidRDefault="003548A6" w:rsidP="00D3768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Does not meet</w:t>
            </w:r>
            <w:r w:rsidR="00D3768A">
              <w:rPr>
                <w:rFonts w:ascii="Times New Roman" w:eastAsia="Times New Roman" w:hAnsi="Times New Roman" w:cs="Times New Roman"/>
              </w:rPr>
              <w:t xml:space="preserve"> any level of p</w:t>
            </w:r>
            <w:r>
              <w:rPr>
                <w:rFonts w:ascii="Times New Roman" w:eastAsia="Times New Roman" w:hAnsi="Times New Roman" w:cs="Times New Roman"/>
              </w:rPr>
              <w:t>roficiency</w:t>
            </w:r>
          </w:p>
        </w:tc>
        <w:tc>
          <w:tcPr>
            <w:tcW w:w="2160" w:type="dxa"/>
            <w:shd w:val="clear" w:color="auto" w:fill="auto"/>
            <w:tcMar>
              <w:top w:w="100" w:type="dxa"/>
              <w:left w:w="100" w:type="dxa"/>
              <w:bottom w:w="100" w:type="dxa"/>
              <w:right w:w="100" w:type="dxa"/>
            </w:tcMar>
          </w:tcPr>
          <w:p w:rsidR="00E326F7" w:rsidRDefault="003548A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Beginning</w:t>
            </w:r>
          </w:p>
          <w:p w:rsidR="00E326F7" w:rsidRDefault="003548A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(Proficiency at 100 Level)</w:t>
            </w:r>
          </w:p>
        </w:tc>
        <w:tc>
          <w:tcPr>
            <w:tcW w:w="2160" w:type="dxa"/>
            <w:shd w:val="clear" w:color="auto" w:fill="auto"/>
            <w:tcMar>
              <w:top w:w="100" w:type="dxa"/>
              <w:left w:w="100" w:type="dxa"/>
              <w:bottom w:w="100" w:type="dxa"/>
              <w:right w:w="100" w:type="dxa"/>
            </w:tcMar>
          </w:tcPr>
          <w:p w:rsidR="00E326F7" w:rsidRDefault="003548A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Intermediate</w:t>
            </w:r>
          </w:p>
          <w:p w:rsidR="00E326F7" w:rsidRDefault="003548A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(Proficiency at 200 Level)</w:t>
            </w:r>
          </w:p>
        </w:tc>
        <w:tc>
          <w:tcPr>
            <w:tcW w:w="2865" w:type="dxa"/>
            <w:shd w:val="clear" w:color="auto" w:fill="auto"/>
            <w:tcMar>
              <w:top w:w="100" w:type="dxa"/>
              <w:left w:w="100" w:type="dxa"/>
              <w:bottom w:w="100" w:type="dxa"/>
              <w:right w:w="100" w:type="dxa"/>
            </w:tcMar>
          </w:tcPr>
          <w:p w:rsidR="00E326F7" w:rsidRDefault="003548A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Advanced </w:t>
            </w:r>
          </w:p>
          <w:p w:rsidR="00E326F7" w:rsidRDefault="003548A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(Proficiency at 300 Level)</w:t>
            </w:r>
          </w:p>
        </w:tc>
        <w:tc>
          <w:tcPr>
            <w:tcW w:w="1455" w:type="dxa"/>
            <w:shd w:val="clear" w:color="auto" w:fill="auto"/>
            <w:tcMar>
              <w:top w:w="100" w:type="dxa"/>
              <w:left w:w="100" w:type="dxa"/>
              <w:bottom w:w="100" w:type="dxa"/>
              <w:right w:w="100" w:type="dxa"/>
            </w:tcMar>
          </w:tcPr>
          <w:p w:rsidR="00E326F7" w:rsidRDefault="003548A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Beyond Advanced</w:t>
            </w:r>
          </w:p>
        </w:tc>
      </w:tr>
      <w:tr w:rsidR="00E326F7">
        <w:tc>
          <w:tcPr>
            <w:tcW w:w="2955" w:type="dxa"/>
            <w:shd w:val="clear" w:color="auto" w:fill="auto"/>
            <w:tcMar>
              <w:top w:w="100" w:type="dxa"/>
              <w:left w:w="100" w:type="dxa"/>
              <w:bottom w:w="100" w:type="dxa"/>
              <w:right w:w="100" w:type="dxa"/>
            </w:tcMar>
          </w:tcPr>
          <w:p w:rsidR="00E326F7" w:rsidRDefault="003548A6">
            <w:pPr>
              <w:widowControl w:val="0"/>
              <w:spacing w:line="268" w:lineRule="auto"/>
              <w:ind w:right="640"/>
              <w:rPr>
                <w:rFonts w:ascii="Times New Roman" w:eastAsia="Times New Roman" w:hAnsi="Times New Roman" w:cs="Times New Roman"/>
              </w:rPr>
            </w:pPr>
            <w:r>
              <w:rPr>
                <w:rFonts w:ascii="Times New Roman" w:eastAsia="Times New Roman" w:hAnsi="Times New Roman" w:cs="Times New Roman"/>
              </w:rPr>
              <w:t>Increase their non-English language proficiency in listening comprehension, speaking, reading, and writing, as appropriate to the target language, in order to develop effective communication skills across languages.</w:t>
            </w:r>
            <w:r>
              <w:rPr>
                <w:rFonts w:ascii="Times New Roman" w:eastAsia="Times New Roman" w:hAnsi="Times New Roman" w:cs="Times New Roman"/>
              </w:rPr>
              <w:tab/>
            </w:r>
          </w:p>
        </w:tc>
        <w:tc>
          <w:tcPr>
            <w:tcW w:w="1365" w:type="dxa"/>
            <w:shd w:val="clear" w:color="auto" w:fill="auto"/>
            <w:tcMar>
              <w:top w:w="100" w:type="dxa"/>
              <w:left w:w="100" w:type="dxa"/>
              <w:bottom w:w="100" w:type="dxa"/>
              <w:right w:w="100" w:type="dxa"/>
            </w:tcMar>
          </w:tcPr>
          <w:p w:rsidR="00E326F7" w:rsidRDefault="00E326F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E326F7" w:rsidRDefault="003548A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 languages at this level]</w:t>
            </w:r>
          </w:p>
          <w:p w:rsidR="00E326F7" w:rsidRDefault="00E326F7">
            <w:pPr>
              <w:widowControl w:val="0"/>
              <w:spacing w:line="240" w:lineRule="auto"/>
              <w:rPr>
                <w:rFonts w:ascii="Times New Roman" w:eastAsia="Times New Roman" w:hAnsi="Times New Roman" w:cs="Times New Roman"/>
              </w:rPr>
            </w:pPr>
          </w:p>
          <w:p w:rsidR="00E326F7" w:rsidRDefault="003548A6">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b/>
              </w:rPr>
              <w:t xml:space="preserve">Identify </w:t>
            </w:r>
            <w:r>
              <w:rPr>
                <w:rFonts w:ascii="Times New Roman" w:eastAsia="Times New Roman" w:hAnsi="Times New Roman" w:cs="Times New Roman"/>
              </w:rPr>
              <w:t xml:space="preserve">and </w:t>
            </w:r>
            <w:r>
              <w:rPr>
                <w:rFonts w:ascii="Times New Roman" w:eastAsia="Times New Roman" w:hAnsi="Times New Roman" w:cs="Times New Roman"/>
                <w:b/>
              </w:rPr>
              <w:t>exemplify</w:t>
            </w:r>
            <w:r>
              <w:rPr>
                <w:rFonts w:ascii="Times New Roman" w:eastAsia="Times New Roman" w:hAnsi="Times New Roman" w:cs="Times New Roman"/>
              </w:rPr>
              <w:t xml:space="preserve"> basic grammatical features. </w:t>
            </w:r>
            <w:r>
              <w:rPr>
                <w:rFonts w:ascii="Times New Roman" w:eastAsia="Times New Roman" w:hAnsi="Times New Roman" w:cs="Times New Roman"/>
                <w:b/>
              </w:rPr>
              <w:t xml:space="preserve">Produce </w:t>
            </w:r>
            <w:r>
              <w:rPr>
                <w:rFonts w:ascii="Times New Roman" w:eastAsia="Times New Roman" w:hAnsi="Times New Roman" w:cs="Times New Roman"/>
              </w:rPr>
              <w:t>basic written and/or oral work in the target language</w:t>
            </w:r>
            <w:r>
              <w:rPr>
                <w:rFonts w:ascii="Times New Roman" w:eastAsia="Times New Roman" w:hAnsi="Times New Roman" w:cs="Times New Roman"/>
                <w:highlight w:val="white"/>
              </w:rPr>
              <w:t>.</w:t>
            </w:r>
          </w:p>
        </w:tc>
        <w:tc>
          <w:tcPr>
            <w:tcW w:w="2160" w:type="dxa"/>
            <w:shd w:val="clear" w:color="auto" w:fill="auto"/>
            <w:tcMar>
              <w:top w:w="100" w:type="dxa"/>
              <w:left w:w="100" w:type="dxa"/>
              <w:bottom w:w="100" w:type="dxa"/>
              <w:right w:w="100" w:type="dxa"/>
            </w:tcMar>
          </w:tcPr>
          <w:p w:rsidR="00E326F7" w:rsidRDefault="003548A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[As appropriate to the language and level]</w:t>
            </w:r>
          </w:p>
          <w:p w:rsidR="00E326F7" w:rsidRDefault="00E326F7">
            <w:pPr>
              <w:widowControl w:val="0"/>
              <w:spacing w:line="240" w:lineRule="auto"/>
              <w:rPr>
                <w:rFonts w:ascii="Times New Roman" w:eastAsia="Times New Roman" w:hAnsi="Times New Roman" w:cs="Times New Roman"/>
              </w:rPr>
            </w:pPr>
          </w:p>
          <w:p w:rsidR="00E326F7" w:rsidRDefault="003548A6">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Identify</w:t>
            </w:r>
            <w:r>
              <w:rPr>
                <w:rFonts w:ascii="Times New Roman" w:eastAsia="Times New Roman" w:hAnsi="Times New Roman" w:cs="Times New Roman"/>
              </w:rPr>
              <w:t xml:space="preserve"> and </w:t>
            </w:r>
            <w:r>
              <w:rPr>
                <w:rFonts w:ascii="Times New Roman" w:eastAsia="Times New Roman" w:hAnsi="Times New Roman" w:cs="Times New Roman"/>
                <w:b/>
              </w:rPr>
              <w:t>exemplify</w:t>
            </w:r>
            <w:r>
              <w:rPr>
                <w:rFonts w:ascii="Times New Roman" w:eastAsia="Times New Roman" w:hAnsi="Times New Roman" w:cs="Times New Roman"/>
              </w:rPr>
              <w:t xml:space="preserve"> a broader range of grammatical features. </w:t>
            </w:r>
            <w:r>
              <w:rPr>
                <w:rFonts w:ascii="Times New Roman" w:eastAsia="Times New Roman" w:hAnsi="Times New Roman" w:cs="Times New Roman"/>
                <w:b/>
                <w:color w:val="222222"/>
              </w:rPr>
              <w:t>Interpret</w:t>
            </w:r>
            <w:r>
              <w:rPr>
                <w:rFonts w:ascii="Times New Roman" w:eastAsia="Times New Roman" w:hAnsi="Times New Roman" w:cs="Times New Roman"/>
                <w:b/>
              </w:rPr>
              <w:t xml:space="preserve"> </w:t>
            </w:r>
            <w:r>
              <w:rPr>
                <w:rFonts w:ascii="Times New Roman" w:eastAsia="Times New Roman" w:hAnsi="Times New Roman" w:cs="Times New Roman"/>
              </w:rPr>
              <w:t xml:space="preserve">exemplary texts and/or films in the target language. </w:t>
            </w:r>
            <w:r>
              <w:rPr>
                <w:rFonts w:ascii="Times New Roman" w:eastAsia="Times New Roman" w:hAnsi="Times New Roman" w:cs="Times New Roman"/>
                <w:b/>
              </w:rPr>
              <w:t>Produce</w:t>
            </w:r>
            <w:r>
              <w:rPr>
                <w:rFonts w:ascii="Times New Roman" w:eastAsia="Times New Roman" w:hAnsi="Times New Roman" w:cs="Times New Roman"/>
              </w:rPr>
              <w:t xml:space="preserve"> more complex written and/or oral work in the target language.</w:t>
            </w:r>
          </w:p>
        </w:tc>
        <w:tc>
          <w:tcPr>
            <w:tcW w:w="2865" w:type="dxa"/>
            <w:shd w:val="clear" w:color="auto" w:fill="auto"/>
            <w:tcMar>
              <w:top w:w="100" w:type="dxa"/>
              <w:left w:w="100" w:type="dxa"/>
              <w:bottom w:w="100" w:type="dxa"/>
              <w:right w:w="100" w:type="dxa"/>
            </w:tcMar>
          </w:tcPr>
          <w:p w:rsidR="00E326F7" w:rsidRDefault="003548A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[As appropriate to the language and level]</w:t>
            </w:r>
          </w:p>
          <w:p w:rsidR="00E326F7" w:rsidRDefault="00E326F7">
            <w:pPr>
              <w:widowControl w:val="0"/>
              <w:spacing w:line="240" w:lineRule="auto"/>
              <w:rPr>
                <w:rFonts w:ascii="Times New Roman" w:eastAsia="Times New Roman" w:hAnsi="Times New Roman" w:cs="Times New Roman"/>
                <w:b/>
                <w:color w:val="222222"/>
              </w:rPr>
            </w:pPr>
          </w:p>
          <w:p w:rsidR="00E326F7" w:rsidRDefault="003548A6">
            <w:pPr>
              <w:widowControl w:val="0"/>
              <w:spacing w:line="240" w:lineRule="auto"/>
              <w:rPr>
                <w:rFonts w:ascii="Times New Roman" w:eastAsia="Times New Roman" w:hAnsi="Times New Roman" w:cs="Times New Roman"/>
              </w:rPr>
            </w:pPr>
            <w:r>
              <w:rPr>
                <w:rFonts w:ascii="Times New Roman" w:eastAsia="Times New Roman" w:hAnsi="Times New Roman" w:cs="Times New Roman"/>
                <w:b/>
                <w:color w:val="222222"/>
              </w:rPr>
              <w:t>Interpret</w:t>
            </w:r>
            <w:r>
              <w:rPr>
                <w:rFonts w:ascii="Times New Roman" w:eastAsia="Times New Roman" w:hAnsi="Times New Roman" w:cs="Times New Roman"/>
                <w:b/>
              </w:rPr>
              <w:t xml:space="preserve"> </w:t>
            </w:r>
            <w:r>
              <w:rPr>
                <w:rFonts w:ascii="Times New Roman" w:eastAsia="Times New Roman" w:hAnsi="Times New Roman" w:cs="Times New Roman"/>
              </w:rPr>
              <w:t xml:space="preserve">with nuance exemplary texts and/or films in the target language. </w:t>
            </w:r>
            <w:r>
              <w:rPr>
                <w:rFonts w:ascii="Times New Roman" w:eastAsia="Times New Roman" w:hAnsi="Times New Roman" w:cs="Times New Roman"/>
                <w:b/>
              </w:rPr>
              <w:t>Produce</w:t>
            </w:r>
            <w:r>
              <w:rPr>
                <w:rFonts w:ascii="Times New Roman" w:eastAsia="Times New Roman" w:hAnsi="Times New Roman" w:cs="Times New Roman"/>
              </w:rPr>
              <w:t xml:space="preserve"> </w:t>
            </w:r>
            <w:r>
              <w:rPr>
                <w:rFonts w:ascii="Times New Roman" w:eastAsia="Times New Roman" w:hAnsi="Times New Roman" w:cs="Times New Roman"/>
                <w:u w:val="single"/>
              </w:rPr>
              <w:t>sophisticated written and/or oral wo</w:t>
            </w:r>
            <w:r>
              <w:rPr>
                <w:rFonts w:ascii="Times New Roman" w:eastAsia="Times New Roman" w:hAnsi="Times New Roman" w:cs="Times New Roman"/>
              </w:rPr>
              <w:t>rk in the target language.</w:t>
            </w:r>
          </w:p>
        </w:tc>
        <w:tc>
          <w:tcPr>
            <w:tcW w:w="1455" w:type="dxa"/>
            <w:shd w:val="clear" w:color="auto" w:fill="auto"/>
            <w:tcMar>
              <w:top w:w="100" w:type="dxa"/>
              <w:left w:w="100" w:type="dxa"/>
              <w:bottom w:w="100" w:type="dxa"/>
              <w:right w:w="100" w:type="dxa"/>
            </w:tcMar>
          </w:tcPr>
          <w:p w:rsidR="00E326F7" w:rsidRDefault="00E326F7">
            <w:pPr>
              <w:widowControl w:val="0"/>
              <w:pBdr>
                <w:top w:val="nil"/>
                <w:left w:val="nil"/>
                <w:bottom w:val="nil"/>
                <w:right w:val="nil"/>
                <w:between w:val="nil"/>
              </w:pBdr>
              <w:spacing w:line="240" w:lineRule="auto"/>
              <w:rPr>
                <w:rFonts w:ascii="Times New Roman" w:eastAsia="Times New Roman" w:hAnsi="Times New Roman" w:cs="Times New Roman"/>
              </w:rPr>
            </w:pPr>
          </w:p>
        </w:tc>
      </w:tr>
      <w:tr w:rsidR="00E326F7">
        <w:tc>
          <w:tcPr>
            <w:tcW w:w="2955" w:type="dxa"/>
            <w:shd w:val="clear" w:color="auto" w:fill="auto"/>
            <w:tcMar>
              <w:top w:w="100" w:type="dxa"/>
              <w:left w:w="100" w:type="dxa"/>
              <w:bottom w:w="100" w:type="dxa"/>
              <w:right w:w="100" w:type="dxa"/>
            </w:tcMar>
          </w:tcPr>
          <w:p w:rsidR="00E326F7" w:rsidRDefault="003548A6">
            <w:pPr>
              <w:widowControl w:val="0"/>
              <w:spacing w:line="268" w:lineRule="auto"/>
              <w:rPr>
                <w:rFonts w:ascii="Times New Roman" w:eastAsia="Times New Roman" w:hAnsi="Times New Roman" w:cs="Times New Roman"/>
              </w:rPr>
            </w:pPr>
            <w:r>
              <w:rPr>
                <w:rFonts w:ascii="Times New Roman" w:eastAsia="Times New Roman" w:hAnsi="Times New Roman" w:cs="Times New Roman"/>
              </w:rPr>
              <w:t>Acquire knowledge and appreciation of products, practices, and perspectives of cultures related to the target language to develop the intercultural skills needed to ethically engage the world in its diversity.</w:t>
            </w:r>
          </w:p>
          <w:p w:rsidR="00E326F7" w:rsidRDefault="00E326F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365" w:type="dxa"/>
            <w:shd w:val="clear" w:color="auto" w:fill="auto"/>
            <w:tcMar>
              <w:top w:w="100" w:type="dxa"/>
              <w:left w:w="100" w:type="dxa"/>
              <w:bottom w:w="100" w:type="dxa"/>
              <w:right w:w="100" w:type="dxa"/>
            </w:tcMar>
          </w:tcPr>
          <w:p w:rsidR="00E326F7" w:rsidRDefault="00E326F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E326F7" w:rsidRDefault="003548A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 xml:space="preserve">Describe </w:t>
            </w:r>
            <w:r>
              <w:rPr>
                <w:rFonts w:ascii="Times New Roman" w:eastAsia="Times New Roman" w:hAnsi="Times New Roman" w:cs="Times New Roman"/>
              </w:rPr>
              <w:t>(in English or in the target language) products, practices, and perspectives of cultures related to the target language as present in visual and/or textual materials appropriate to the level of the course.</w:t>
            </w:r>
          </w:p>
        </w:tc>
        <w:tc>
          <w:tcPr>
            <w:tcW w:w="2160" w:type="dxa"/>
            <w:shd w:val="clear" w:color="auto" w:fill="auto"/>
            <w:tcMar>
              <w:top w:w="100" w:type="dxa"/>
              <w:left w:w="100" w:type="dxa"/>
              <w:bottom w:w="100" w:type="dxa"/>
              <w:right w:w="100" w:type="dxa"/>
            </w:tcMar>
          </w:tcPr>
          <w:p w:rsidR="00E326F7" w:rsidRDefault="003548A6">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Explain</w:t>
            </w:r>
            <w:r>
              <w:rPr>
                <w:rFonts w:ascii="Times New Roman" w:eastAsia="Times New Roman" w:hAnsi="Times New Roman" w:cs="Times New Roman"/>
              </w:rPr>
              <w:t xml:space="preserve"> (in English or, where pertinent, in the target language) products, practices, and perspectives of cultures related to the target language as present in visual and/or textual materials appropriate to the level of the course.</w:t>
            </w:r>
          </w:p>
        </w:tc>
        <w:tc>
          <w:tcPr>
            <w:tcW w:w="2865" w:type="dxa"/>
            <w:shd w:val="clear" w:color="auto" w:fill="auto"/>
            <w:tcMar>
              <w:top w:w="100" w:type="dxa"/>
              <w:left w:w="100" w:type="dxa"/>
              <w:bottom w:w="100" w:type="dxa"/>
              <w:right w:w="100" w:type="dxa"/>
            </w:tcMar>
          </w:tcPr>
          <w:p w:rsidR="00E326F7" w:rsidRDefault="003548A6">
            <w:pPr>
              <w:widowControl w:val="0"/>
              <w:spacing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Interpret</w:t>
            </w:r>
            <w:r>
              <w:rPr>
                <w:rFonts w:ascii="Times New Roman" w:eastAsia="Times New Roman" w:hAnsi="Times New Roman" w:cs="Times New Roman"/>
                <w:color w:val="222222"/>
              </w:rPr>
              <w:t xml:space="preserve"> </w:t>
            </w:r>
            <w:r>
              <w:rPr>
                <w:rFonts w:ascii="Times New Roman" w:eastAsia="Times New Roman" w:hAnsi="Times New Roman" w:cs="Times New Roman"/>
              </w:rPr>
              <w:t>(in English or, where pertinent, in the target language) products, practices, and perspectives of cultures related to the target language as present in visual and/or textual materials appropriate to the level of the course, placing them in specific contexts.</w:t>
            </w:r>
          </w:p>
        </w:tc>
        <w:tc>
          <w:tcPr>
            <w:tcW w:w="1455" w:type="dxa"/>
            <w:shd w:val="clear" w:color="auto" w:fill="auto"/>
            <w:tcMar>
              <w:top w:w="100" w:type="dxa"/>
              <w:left w:w="100" w:type="dxa"/>
              <w:bottom w:w="100" w:type="dxa"/>
              <w:right w:w="100" w:type="dxa"/>
            </w:tcMar>
          </w:tcPr>
          <w:p w:rsidR="00E326F7" w:rsidRDefault="00E326F7">
            <w:pPr>
              <w:widowControl w:val="0"/>
              <w:pBdr>
                <w:top w:val="nil"/>
                <w:left w:val="nil"/>
                <w:bottom w:val="nil"/>
                <w:right w:val="nil"/>
                <w:between w:val="nil"/>
              </w:pBdr>
              <w:spacing w:line="240" w:lineRule="auto"/>
              <w:rPr>
                <w:rFonts w:ascii="Times New Roman" w:eastAsia="Times New Roman" w:hAnsi="Times New Roman" w:cs="Times New Roman"/>
              </w:rPr>
            </w:pPr>
          </w:p>
        </w:tc>
      </w:tr>
      <w:tr w:rsidR="00E326F7">
        <w:tc>
          <w:tcPr>
            <w:tcW w:w="2955" w:type="dxa"/>
            <w:shd w:val="clear" w:color="auto" w:fill="auto"/>
            <w:tcMar>
              <w:top w:w="100" w:type="dxa"/>
              <w:left w:w="100" w:type="dxa"/>
              <w:bottom w:w="100" w:type="dxa"/>
              <w:right w:w="100" w:type="dxa"/>
            </w:tcMar>
          </w:tcPr>
          <w:p w:rsidR="00E326F7" w:rsidRDefault="003548A6">
            <w:pPr>
              <w:widowControl w:val="0"/>
              <w:spacing w:line="268" w:lineRule="auto"/>
              <w:rPr>
                <w:rFonts w:ascii="Times New Roman" w:eastAsia="Times New Roman" w:hAnsi="Times New Roman" w:cs="Times New Roman"/>
              </w:rPr>
            </w:pPr>
            <w:r>
              <w:rPr>
                <w:rFonts w:ascii="Times New Roman" w:eastAsia="Times New Roman" w:hAnsi="Times New Roman" w:cs="Times New Roman"/>
              </w:rPr>
              <w:t xml:space="preserve">Place their own cultural values </w:t>
            </w:r>
            <w:r>
              <w:rPr>
                <w:rFonts w:ascii="Times New Roman" w:eastAsia="Times New Roman" w:hAnsi="Times New Roman" w:cs="Times New Roman"/>
              </w:rPr>
              <w:lastRenderedPageBreak/>
              <w:t>in dialogue with the values of cultures related to the target language to better understand connections and divergences among global cultures</w:t>
            </w:r>
          </w:p>
        </w:tc>
        <w:tc>
          <w:tcPr>
            <w:tcW w:w="1365" w:type="dxa"/>
            <w:shd w:val="clear" w:color="auto" w:fill="auto"/>
            <w:tcMar>
              <w:top w:w="100" w:type="dxa"/>
              <w:left w:w="100" w:type="dxa"/>
              <w:bottom w:w="100" w:type="dxa"/>
              <w:right w:w="100" w:type="dxa"/>
            </w:tcMar>
          </w:tcPr>
          <w:p w:rsidR="00E326F7" w:rsidRDefault="00E326F7">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E326F7" w:rsidRDefault="003548A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 xml:space="preserve">Recognize </w:t>
            </w:r>
            <w:r>
              <w:rPr>
                <w:rFonts w:ascii="Times New Roman" w:eastAsia="Times New Roman" w:hAnsi="Times New Roman" w:cs="Times New Roman"/>
              </w:rPr>
              <w:t xml:space="preserve">and </w:t>
            </w:r>
            <w:r>
              <w:rPr>
                <w:rFonts w:ascii="Times New Roman" w:eastAsia="Times New Roman" w:hAnsi="Times New Roman" w:cs="Times New Roman"/>
                <w:b/>
              </w:rPr>
              <w:lastRenderedPageBreak/>
              <w:t>describe</w:t>
            </w:r>
            <w:r>
              <w:rPr>
                <w:rFonts w:ascii="Times New Roman" w:eastAsia="Times New Roman" w:hAnsi="Times New Roman" w:cs="Times New Roman"/>
              </w:rPr>
              <w:t xml:space="preserve"> the values of one’s context as culturally constructed and </w:t>
            </w:r>
            <w:r>
              <w:rPr>
                <w:rFonts w:ascii="Times New Roman" w:eastAsia="Times New Roman" w:hAnsi="Times New Roman" w:cs="Times New Roman"/>
                <w:b/>
              </w:rPr>
              <w:t>differentiate</w:t>
            </w:r>
            <w:r>
              <w:rPr>
                <w:rFonts w:ascii="Times New Roman" w:eastAsia="Times New Roman" w:hAnsi="Times New Roman" w:cs="Times New Roman"/>
              </w:rPr>
              <w:t xml:space="preserve"> them from those of the cultures related to the target language.</w:t>
            </w:r>
          </w:p>
        </w:tc>
        <w:tc>
          <w:tcPr>
            <w:tcW w:w="2160" w:type="dxa"/>
            <w:shd w:val="clear" w:color="auto" w:fill="auto"/>
            <w:tcMar>
              <w:top w:w="100" w:type="dxa"/>
              <w:left w:w="100" w:type="dxa"/>
              <w:bottom w:w="100" w:type="dxa"/>
              <w:right w:w="100" w:type="dxa"/>
            </w:tcMar>
          </w:tcPr>
          <w:p w:rsidR="00E326F7" w:rsidRDefault="003548A6">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Explain </w:t>
            </w:r>
            <w:r>
              <w:rPr>
                <w:rFonts w:ascii="Times New Roman" w:eastAsia="Times New Roman" w:hAnsi="Times New Roman" w:cs="Times New Roman"/>
              </w:rPr>
              <w:t xml:space="preserve">the values of </w:t>
            </w:r>
            <w:r>
              <w:rPr>
                <w:rFonts w:ascii="Times New Roman" w:eastAsia="Times New Roman" w:hAnsi="Times New Roman" w:cs="Times New Roman"/>
              </w:rPr>
              <w:lastRenderedPageBreak/>
              <w:t xml:space="preserve">one’s context as culturally constructed and </w:t>
            </w:r>
            <w:r>
              <w:rPr>
                <w:rFonts w:ascii="Times New Roman" w:eastAsia="Times New Roman" w:hAnsi="Times New Roman" w:cs="Times New Roman"/>
                <w:b/>
              </w:rPr>
              <w:t>differentiate</w:t>
            </w:r>
            <w:r>
              <w:rPr>
                <w:rFonts w:ascii="Times New Roman" w:eastAsia="Times New Roman" w:hAnsi="Times New Roman" w:cs="Times New Roman"/>
              </w:rPr>
              <w:t xml:space="preserve"> them from those of the cultures related to the target language.</w:t>
            </w:r>
          </w:p>
        </w:tc>
        <w:tc>
          <w:tcPr>
            <w:tcW w:w="2865" w:type="dxa"/>
            <w:shd w:val="clear" w:color="auto" w:fill="auto"/>
            <w:tcMar>
              <w:top w:w="100" w:type="dxa"/>
              <w:left w:w="100" w:type="dxa"/>
              <w:bottom w:w="100" w:type="dxa"/>
              <w:right w:w="100" w:type="dxa"/>
            </w:tcMar>
          </w:tcPr>
          <w:p w:rsidR="00E326F7" w:rsidRDefault="003548A6">
            <w:pPr>
              <w:widowControl w:val="0"/>
              <w:spacing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lastRenderedPageBreak/>
              <w:t>Interpret</w:t>
            </w:r>
            <w:r>
              <w:rPr>
                <w:rFonts w:ascii="Times New Roman" w:eastAsia="Times New Roman" w:hAnsi="Times New Roman" w:cs="Times New Roman"/>
                <w:color w:val="222222"/>
              </w:rPr>
              <w:t xml:space="preserve"> the values of one’s </w:t>
            </w:r>
            <w:r>
              <w:rPr>
                <w:rFonts w:ascii="Times New Roman" w:eastAsia="Times New Roman" w:hAnsi="Times New Roman" w:cs="Times New Roman"/>
                <w:color w:val="222222"/>
              </w:rPr>
              <w:lastRenderedPageBreak/>
              <w:t>context in nuanced dialogue with those of the cultures related to the target language in specific contexts.</w:t>
            </w:r>
          </w:p>
        </w:tc>
        <w:tc>
          <w:tcPr>
            <w:tcW w:w="1455" w:type="dxa"/>
            <w:shd w:val="clear" w:color="auto" w:fill="auto"/>
            <w:tcMar>
              <w:top w:w="100" w:type="dxa"/>
              <w:left w:w="100" w:type="dxa"/>
              <w:bottom w:w="100" w:type="dxa"/>
              <w:right w:w="100" w:type="dxa"/>
            </w:tcMar>
          </w:tcPr>
          <w:p w:rsidR="00E326F7" w:rsidRDefault="00E326F7">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E326F7" w:rsidRDefault="00E326F7">
      <w:pPr>
        <w:spacing w:after="160" w:line="314" w:lineRule="auto"/>
        <w:ind w:right="1200"/>
        <w:rPr>
          <w:rFonts w:ascii="Times New Roman" w:eastAsia="Times New Roman" w:hAnsi="Times New Roman" w:cs="Times New Roman"/>
        </w:rPr>
      </w:pPr>
    </w:p>
    <w:p w:rsidR="00D3768A" w:rsidRPr="00D3768A" w:rsidRDefault="00D3768A" w:rsidP="00D3768A">
      <w:pPr>
        <w:rPr>
          <w:rFonts w:ascii="Times New Roman" w:eastAsia="Times New Roman" w:hAnsi="Times New Roman" w:cs="Times New Roman"/>
        </w:rPr>
      </w:pPr>
      <w:r w:rsidRPr="00D3768A">
        <w:rPr>
          <w:rFonts w:ascii="Times New Roman" w:eastAsia="Times New Roman" w:hAnsi="Times New Roman" w:cs="Times New Roman"/>
        </w:rPr>
        <w:t>Rubric Information:</w:t>
      </w:r>
    </w:p>
    <w:p w:rsidR="00D3768A" w:rsidRPr="00D3768A" w:rsidRDefault="00D3768A" w:rsidP="00D3768A">
      <w:pPr>
        <w:rPr>
          <w:rFonts w:ascii="Times New Roman" w:eastAsia="Times New Roman" w:hAnsi="Times New Roman" w:cs="Times New Roman"/>
        </w:rPr>
      </w:pPr>
    </w:p>
    <w:p w:rsidR="00D3768A" w:rsidRPr="00150CFA" w:rsidRDefault="00D3768A" w:rsidP="00150CFA">
      <w:pPr>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This rubric specifies criteria for proficiency at the 100, 200, and 300 level. In some cases, a criteria for a language may not be appropriate (e.g. producing oral or written work in the target language). Instructors should ignore criteria that are not appropriate for the language.</w:t>
      </w:r>
    </w:p>
    <w:p w:rsidR="00D3768A" w:rsidRPr="00150CFA" w:rsidRDefault="00D3768A" w:rsidP="00150CFA">
      <w:pPr>
        <w:numPr>
          <w:ilvl w:val="0"/>
          <w:numId w:val="2"/>
        </w:numPr>
        <w:spacing w:line="240" w:lineRule="auto"/>
        <w:contextualSpacing/>
        <w:rPr>
          <w:rFonts w:ascii="Times New Roman" w:eastAsia="Times New Roman" w:hAnsi="Times New Roman" w:cs="Times New Roman"/>
        </w:rPr>
      </w:pPr>
      <w:r w:rsidRPr="00D3768A">
        <w:rPr>
          <w:rFonts w:ascii="Times New Roman" w:eastAsia="Times New Roman" w:hAnsi="Times New Roman" w:cs="Times New Roman"/>
        </w:rPr>
        <w:t>Student work must meet all the criteria in a category in order to satisfy that category. If the student work is between “Beginning” and “Intermediate” (meeting all the “Beginning” criteria and achieving some, but not all, of the “Intermediate” criteria), the student work belongs in the “Beginning” category.</w:t>
      </w:r>
      <w:bookmarkStart w:id="0" w:name="_GoBack"/>
      <w:bookmarkEnd w:id="0"/>
    </w:p>
    <w:p w:rsidR="00D3768A" w:rsidRPr="00D3768A" w:rsidRDefault="00D3768A" w:rsidP="00150CFA">
      <w:pPr>
        <w:numPr>
          <w:ilvl w:val="0"/>
          <w:numId w:val="2"/>
        </w:numPr>
        <w:spacing w:line="240" w:lineRule="auto"/>
        <w:contextualSpacing/>
        <w:rPr>
          <w:rFonts w:ascii="Times New Roman" w:eastAsia="Times New Roman" w:hAnsi="Times New Roman" w:cs="Times New Roman"/>
        </w:rPr>
      </w:pPr>
      <w:r w:rsidRPr="00D3768A">
        <w:rPr>
          <w:rFonts w:ascii="Times New Roman" w:eastAsia="Times New Roman" w:hAnsi="Times New Roman" w:cs="Times New Roman"/>
        </w:rPr>
        <w:t>This rubric does not give specific criteria for “Does not meet General Education Proficiency” and “Beyond Advanced.” If student work does not meet “Beginning,” the work “Does not meet General Education Proficiency.” If the student work meets all “Advanced” criteria and exceeds some or all of it, the student work is “Beyond Advanced.”</w:t>
      </w:r>
    </w:p>
    <w:p w:rsidR="00E326F7" w:rsidRDefault="00E326F7" w:rsidP="00150CFA">
      <w:pPr>
        <w:spacing w:line="240" w:lineRule="auto"/>
        <w:contextualSpacing/>
        <w:rPr>
          <w:rFonts w:ascii="Times New Roman" w:eastAsia="Times New Roman" w:hAnsi="Times New Roman" w:cs="Times New Roman"/>
        </w:rPr>
      </w:pPr>
    </w:p>
    <w:sectPr w:rsidR="00E326F7" w:rsidSect="009036E8">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14C0"/>
    <w:multiLevelType w:val="multilevel"/>
    <w:tmpl w:val="646C2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6303F7"/>
    <w:multiLevelType w:val="hybridMultilevel"/>
    <w:tmpl w:val="8D6A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F7"/>
    <w:rsid w:val="00150CFA"/>
    <w:rsid w:val="003548A6"/>
    <w:rsid w:val="009036E8"/>
    <w:rsid w:val="00D3768A"/>
    <w:rsid w:val="00E3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75DD8"/>
  <w15:docId w15:val="{17A57638-B575-47CE-B7A1-0E924A1E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036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Ruble</dc:creator>
  <cp:lastModifiedBy>Sarah Ruble</cp:lastModifiedBy>
  <cp:revision>4</cp:revision>
  <cp:lastPrinted>2019-08-06T15:41:00Z</cp:lastPrinted>
  <dcterms:created xsi:type="dcterms:W3CDTF">2019-08-06T15:41:00Z</dcterms:created>
  <dcterms:modified xsi:type="dcterms:W3CDTF">2019-08-22T20:15:00Z</dcterms:modified>
</cp:coreProperties>
</file>