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B695" w14:textId="77777777" w:rsidR="00ED14E0" w:rsidRDefault="00000000">
      <w:pPr>
        <w:pStyle w:val="Heading2"/>
        <w:spacing w:before="200" w:after="200"/>
      </w:pPr>
      <w:bookmarkStart w:id="0" w:name="_c04v5mwot31a" w:colFirst="0" w:colLast="0"/>
      <w:bookmarkEnd w:id="0"/>
      <w:r>
        <w:t>Rubrics for Direct Assessment of Student Work (papers, presentations, discussion, etc.)</w:t>
      </w:r>
    </w:p>
    <w:p w14:paraId="3B3934F7" w14:textId="77777777" w:rsidR="00ED14E0" w:rsidRDefault="00000000">
      <w:r>
        <w:t xml:space="preserve">Individual measures from the rubric below are applied directly to student work evaluated during class or evaluated outside of class. </w:t>
      </w:r>
    </w:p>
    <w:p w14:paraId="1CB1C279" w14:textId="77777777" w:rsidR="00ED14E0" w:rsidRDefault="00ED14E0"/>
    <w:p w14:paraId="6A7E4E28" w14:textId="77777777" w:rsidR="00ED14E0" w:rsidRDefault="00000000">
      <w:r>
        <w:rPr>
          <w:b/>
        </w:rPr>
        <w:t>A note to instructors</w:t>
      </w:r>
      <w:r>
        <w:t xml:space="preserve">: FTS encourages you to incorporate these rubrics into your evaluation </w:t>
      </w:r>
      <w:proofErr w:type="gramStart"/>
      <w:r>
        <w:t>of  any</w:t>
      </w:r>
      <w:proofErr w:type="gramEnd"/>
      <w:r>
        <w:t xml:space="preserve"> appropriate FTS assignments, projects, discussions, and/or activities. Doing so will not only help assess FTS student learning outcomes, but also reduce your workload by incorporating assessment into your route evaluation of student work (rather than having to apply a new, separate rubric item after you have already graded/evaluated the student work).  Please share the results of your rubric evaluations with the FTS Director, including the details of the assignments/projects/discussions/activities and all results from applying rubric measure. The FTS Director will compile the data across FTS sections and include it in the Program’s assessment reports.</w:t>
      </w:r>
    </w:p>
    <w:p w14:paraId="0A894933" w14:textId="77777777" w:rsidR="00ED14E0" w:rsidRDefault="00ED14E0"/>
    <w:tbl>
      <w:tblPr>
        <w:tblStyle w:val="a"/>
        <w:tblW w:w="14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230"/>
        <w:gridCol w:w="2625"/>
        <w:gridCol w:w="2625"/>
        <w:gridCol w:w="2625"/>
        <w:gridCol w:w="2625"/>
        <w:gridCol w:w="1050"/>
      </w:tblGrid>
      <w:tr w:rsidR="00ED14E0" w14:paraId="0F44B8F5" w14:textId="77777777">
        <w:trPr>
          <w:trHeight w:val="420"/>
        </w:trPr>
        <w:tc>
          <w:tcPr>
            <w:tcW w:w="1545" w:type="dxa"/>
            <w:shd w:val="clear" w:color="auto" w:fill="auto"/>
            <w:tcMar>
              <w:top w:w="100" w:type="dxa"/>
              <w:left w:w="100" w:type="dxa"/>
              <w:bottom w:w="100" w:type="dxa"/>
              <w:right w:w="100" w:type="dxa"/>
            </w:tcMar>
            <w:vAlign w:val="bottom"/>
          </w:tcPr>
          <w:p w14:paraId="4FC9D5E2" w14:textId="77777777" w:rsidR="00ED14E0" w:rsidRDefault="00000000">
            <w:pPr>
              <w:widowControl w:val="0"/>
              <w:pBdr>
                <w:top w:val="nil"/>
                <w:left w:val="nil"/>
                <w:bottom w:val="nil"/>
                <w:right w:val="nil"/>
                <w:between w:val="nil"/>
              </w:pBdr>
              <w:spacing w:line="240" w:lineRule="auto"/>
              <w:jc w:val="center"/>
            </w:pPr>
            <w:r>
              <w:rPr>
                <w:b/>
              </w:rPr>
              <w:t>Measure</w:t>
            </w:r>
          </w:p>
        </w:tc>
        <w:tc>
          <w:tcPr>
            <w:tcW w:w="1230" w:type="dxa"/>
            <w:shd w:val="clear" w:color="auto" w:fill="auto"/>
            <w:tcMar>
              <w:top w:w="100" w:type="dxa"/>
              <w:left w:w="100" w:type="dxa"/>
              <w:bottom w:w="100" w:type="dxa"/>
              <w:right w:w="100" w:type="dxa"/>
            </w:tcMar>
            <w:vAlign w:val="bottom"/>
          </w:tcPr>
          <w:p w14:paraId="0D1F2D53" w14:textId="77777777" w:rsidR="00ED14E0" w:rsidRDefault="00000000">
            <w:pPr>
              <w:widowControl w:val="0"/>
              <w:pBdr>
                <w:top w:val="nil"/>
                <w:left w:val="nil"/>
                <w:bottom w:val="nil"/>
                <w:right w:val="nil"/>
                <w:between w:val="nil"/>
              </w:pBdr>
              <w:spacing w:line="240" w:lineRule="auto"/>
              <w:jc w:val="center"/>
            </w:pPr>
            <w:r>
              <w:rPr>
                <w:b/>
              </w:rPr>
              <w:t>Below Benchmark</w:t>
            </w:r>
            <w:r>
              <w:rPr>
                <w:vertAlign w:val="superscript"/>
              </w:rPr>
              <w:footnoteReference w:id="1"/>
            </w:r>
          </w:p>
          <w:p w14:paraId="001A840D" w14:textId="77777777" w:rsidR="00ED14E0" w:rsidRDefault="00000000">
            <w:pPr>
              <w:widowControl w:val="0"/>
              <w:pBdr>
                <w:top w:val="nil"/>
                <w:left w:val="nil"/>
                <w:bottom w:val="nil"/>
                <w:right w:val="nil"/>
                <w:between w:val="nil"/>
              </w:pBdr>
              <w:spacing w:line="240" w:lineRule="auto"/>
              <w:jc w:val="center"/>
            </w:pPr>
            <w:r>
              <w:t>0</w:t>
            </w:r>
          </w:p>
        </w:tc>
        <w:tc>
          <w:tcPr>
            <w:tcW w:w="2625" w:type="dxa"/>
            <w:shd w:val="clear" w:color="auto" w:fill="auto"/>
            <w:tcMar>
              <w:top w:w="100" w:type="dxa"/>
              <w:left w:w="100" w:type="dxa"/>
              <w:bottom w:w="100" w:type="dxa"/>
              <w:right w:w="100" w:type="dxa"/>
            </w:tcMar>
            <w:vAlign w:val="bottom"/>
          </w:tcPr>
          <w:p w14:paraId="1448915C" w14:textId="77777777" w:rsidR="00ED14E0" w:rsidRDefault="00000000">
            <w:pPr>
              <w:widowControl w:val="0"/>
              <w:pBdr>
                <w:top w:val="nil"/>
                <w:left w:val="nil"/>
                <w:bottom w:val="nil"/>
                <w:right w:val="nil"/>
                <w:between w:val="nil"/>
              </w:pBdr>
              <w:spacing w:line="240" w:lineRule="auto"/>
              <w:jc w:val="center"/>
              <w:rPr>
                <w:b/>
              </w:rPr>
            </w:pPr>
            <w:r>
              <w:rPr>
                <w:b/>
              </w:rPr>
              <w:t>Benchmark</w:t>
            </w:r>
            <w:r>
              <w:rPr>
                <w:vertAlign w:val="superscript"/>
              </w:rPr>
              <w:footnoteReference w:id="2"/>
            </w:r>
          </w:p>
          <w:p w14:paraId="3EFD3776" w14:textId="77777777" w:rsidR="00ED14E0" w:rsidRDefault="00000000">
            <w:pPr>
              <w:widowControl w:val="0"/>
              <w:pBdr>
                <w:top w:val="nil"/>
                <w:left w:val="nil"/>
                <w:bottom w:val="nil"/>
                <w:right w:val="nil"/>
                <w:between w:val="nil"/>
              </w:pBdr>
              <w:spacing w:line="240" w:lineRule="auto"/>
              <w:jc w:val="center"/>
            </w:pPr>
            <w:r>
              <w:t>(beginning)</w:t>
            </w:r>
          </w:p>
          <w:p w14:paraId="13458530" w14:textId="77777777" w:rsidR="00ED14E0" w:rsidRDefault="00000000">
            <w:pPr>
              <w:widowControl w:val="0"/>
              <w:spacing w:line="240" w:lineRule="auto"/>
              <w:jc w:val="center"/>
            </w:pPr>
            <w:r>
              <w:t>1</w:t>
            </w:r>
          </w:p>
        </w:tc>
        <w:tc>
          <w:tcPr>
            <w:tcW w:w="5250" w:type="dxa"/>
            <w:gridSpan w:val="2"/>
            <w:shd w:val="clear" w:color="auto" w:fill="auto"/>
            <w:tcMar>
              <w:top w:w="100" w:type="dxa"/>
              <w:left w:w="100" w:type="dxa"/>
              <w:bottom w:w="100" w:type="dxa"/>
              <w:right w:w="100" w:type="dxa"/>
            </w:tcMar>
            <w:vAlign w:val="bottom"/>
          </w:tcPr>
          <w:p w14:paraId="6D134DE3" w14:textId="77777777" w:rsidR="00ED14E0" w:rsidRDefault="00000000">
            <w:pPr>
              <w:widowControl w:val="0"/>
              <w:pBdr>
                <w:top w:val="nil"/>
                <w:left w:val="nil"/>
                <w:bottom w:val="nil"/>
                <w:right w:val="nil"/>
                <w:between w:val="nil"/>
              </w:pBdr>
              <w:spacing w:line="240" w:lineRule="auto"/>
              <w:jc w:val="center"/>
            </w:pPr>
            <w:r>
              <w:t xml:space="preserve"> </w:t>
            </w:r>
            <w:r>
              <w:rPr>
                <w:b/>
              </w:rPr>
              <w:t>Milestones</w:t>
            </w:r>
            <w:r>
              <w:t xml:space="preserve"> </w:t>
            </w:r>
            <w:r>
              <w:br/>
              <w:t>(intermediate)</w:t>
            </w:r>
          </w:p>
          <w:p w14:paraId="189FFA4C" w14:textId="77777777" w:rsidR="00ED14E0" w:rsidRDefault="00000000">
            <w:pPr>
              <w:widowControl w:val="0"/>
              <w:spacing w:line="240" w:lineRule="auto"/>
              <w:jc w:val="center"/>
            </w:pPr>
            <w:r>
              <w:t>2                                                3</w:t>
            </w:r>
          </w:p>
        </w:tc>
        <w:tc>
          <w:tcPr>
            <w:tcW w:w="2625" w:type="dxa"/>
            <w:shd w:val="clear" w:color="auto" w:fill="auto"/>
            <w:tcMar>
              <w:top w:w="100" w:type="dxa"/>
              <w:left w:w="100" w:type="dxa"/>
              <w:bottom w:w="100" w:type="dxa"/>
              <w:right w:w="100" w:type="dxa"/>
            </w:tcMar>
            <w:vAlign w:val="bottom"/>
          </w:tcPr>
          <w:p w14:paraId="4C5200C3" w14:textId="77777777" w:rsidR="00ED14E0" w:rsidRDefault="00000000">
            <w:pPr>
              <w:widowControl w:val="0"/>
              <w:pBdr>
                <w:top w:val="nil"/>
                <w:left w:val="nil"/>
                <w:bottom w:val="nil"/>
                <w:right w:val="nil"/>
                <w:between w:val="nil"/>
              </w:pBdr>
              <w:spacing w:line="240" w:lineRule="auto"/>
              <w:jc w:val="center"/>
              <w:rPr>
                <w:b/>
              </w:rPr>
            </w:pPr>
            <w:r>
              <w:rPr>
                <w:b/>
              </w:rPr>
              <w:t>Capstone</w:t>
            </w:r>
          </w:p>
          <w:p w14:paraId="00F419CD" w14:textId="77777777" w:rsidR="00ED14E0" w:rsidRDefault="00000000">
            <w:pPr>
              <w:widowControl w:val="0"/>
              <w:pBdr>
                <w:top w:val="nil"/>
                <w:left w:val="nil"/>
                <w:bottom w:val="nil"/>
                <w:right w:val="nil"/>
                <w:between w:val="nil"/>
              </w:pBdr>
              <w:spacing w:line="240" w:lineRule="auto"/>
              <w:jc w:val="center"/>
            </w:pPr>
            <w:r>
              <w:t xml:space="preserve"> (advanced)</w:t>
            </w:r>
          </w:p>
          <w:p w14:paraId="2F8E8299" w14:textId="77777777" w:rsidR="00ED14E0" w:rsidRDefault="00000000">
            <w:pPr>
              <w:widowControl w:val="0"/>
              <w:spacing w:line="240" w:lineRule="auto"/>
              <w:jc w:val="center"/>
            </w:pPr>
            <w:r>
              <w:t>4</w:t>
            </w:r>
          </w:p>
        </w:tc>
        <w:tc>
          <w:tcPr>
            <w:tcW w:w="1050" w:type="dxa"/>
            <w:shd w:val="clear" w:color="auto" w:fill="auto"/>
            <w:tcMar>
              <w:top w:w="100" w:type="dxa"/>
              <w:left w:w="100" w:type="dxa"/>
              <w:bottom w:w="100" w:type="dxa"/>
              <w:right w:w="100" w:type="dxa"/>
            </w:tcMar>
            <w:vAlign w:val="bottom"/>
          </w:tcPr>
          <w:p w14:paraId="0934F91C" w14:textId="77777777" w:rsidR="00ED14E0" w:rsidRDefault="00000000">
            <w:pPr>
              <w:widowControl w:val="0"/>
              <w:pBdr>
                <w:top w:val="nil"/>
                <w:left w:val="nil"/>
                <w:bottom w:val="nil"/>
                <w:right w:val="nil"/>
                <w:between w:val="nil"/>
              </w:pBdr>
              <w:spacing w:line="240" w:lineRule="auto"/>
              <w:jc w:val="center"/>
            </w:pPr>
            <w:r>
              <w:rPr>
                <w:b/>
              </w:rPr>
              <w:t>Beyond Capstone</w:t>
            </w:r>
            <w:r>
              <w:rPr>
                <w:vertAlign w:val="superscript"/>
              </w:rPr>
              <w:footnoteReference w:id="3"/>
            </w:r>
          </w:p>
          <w:p w14:paraId="504557C3" w14:textId="77777777" w:rsidR="00ED14E0" w:rsidRDefault="00000000">
            <w:pPr>
              <w:widowControl w:val="0"/>
              <w:spacing w:line="240" w:lineRule="auto"/>
              <w:jc w:val="center"/>
            </w:pPr>
            <w:r>
              <w:t>5</w:t>
            </w:r>
          </w:p>
        </w:tc>
      </w:tr>
      <w:tr w:rsidR="00ED14E0" w14:paraId="11D88193" w14:textId="77777777">
        <w:trPr>
          <w:trHeight w:val="820"/>
        </w:trPr>
        <w:tc>
          <w:tcPr>
            <w:tcW w:w="14325" w:type="dxa"/>
            <w:gridSpan w:val="7"/>
            <w:shd w:val="clear" w:color="auto" w:fill="741B47"/>
            <w:tcMar>
              <w:top w:w="100" w:type="dxa"/>
              <w:left w:w="100" w:type="dxa"/>
              <w:bottom w:w="100" w:type="dxa"/>
              <w:right w:w="100" w:type="dxa"/>
            </w:tcMar>
            <w:vAlign w:val="center"/>
          </w:tcPr>
          <w:p w14:paraId="5A785A61" w14:textId="77777777" w:rsidR="00ED14E0" w:rsidRDefault="00000000">
            <w:pPr>
              <w:pStyle w:val="Heading3"/>
            </w:pPr>
            <w:bookmarkStart w:id="1" w:name="_qxh4oubq0y17" w:colFirst="0" w:colLast="0"/>
            <w:bookmarkEnd w:id="1"/>
            <w:r>
              <w:t>Programmatic Student Learning Outcome</w:t>
            </w:r>
          </w:p>
          <w:p w14:paraId="56303119" w14:textId="77777777" w:rsidR="00ED14E0" w:rsidRDefault="00000000">
            <w:pPr>
              <w:spacing w:line="240" w:lineRule="auto"/>
              <w:jc w:val="center"/>
              <w:rPr>
                <w:b/>
                <w:color w:val="FFFFFF"/>
              </w:rPr>
            </w:pPr>
            <w:r>
              <w:rPr>
                <w:color w:val="FFFFFF"/>
              </w:rPr>
              <w:t xml:space="preserve">FTS students will </w:t>
            </w:r>
            <w:r>
              <w:rPr>
                <w:b/>
                <w:color w:val="FFFFFF"/>
              </w:rPr>
              <w:t>articulate their values, communicate them to others, and reflect on how values shape decisions in an ethically complex world.</w:t>
            </w:r>
          </w:p>
        </w:tc>
      </w:tr>
      <w:tr w:rsidR="00ED14E0" w14:paraId="5E15393E" w14:textId="77777777">
        <w:tc>
          <w:tcPr>
            <w:tcW w:w="1545" w:type="dxa"/>
            <w:shd w:val="clear" w:color="auto" w:fill="EAD1DC"/>
            <w:tcMar>
              <w:top w:w="100" w:type="dxa"/>
              <w:left w:w="100" w:type="dxa"/>
              <w:bottom w:w="100" w:type="dxa"/>
              <w:right w:w="100" w:type="dxa"/>
            </w:tcMar>
          </w:tcPr>
          <w:p w14:paraId="39EF90B0" w14:textId="77777777" w:rsidR="00ED14E0" w:rsidRDefault="00000000">
            <w:pPr>
              <w:spacing w:line="240" w:lineRule="auto"/>
              <w:jc w:val="right"/>
              <w:rPr>
                <w:i/>
              </w:rPr>
            </w:pPr>
            <w:r>
              <w:rPr>
                <w:b/>
              </w:rPr>
              <w:t>Application of Ethical Perspectives</w:t>
            </w:r>
            <w:r>
              <w:rPr>
                <w:vertAlign w:val="superscript"/>
              </w:rPr>
              <w:t xml:space="preserve"> </w:t>
            </w:r>
            <w:r>
              <w:rPr>
                <w:vertAlign w:val="superscript"/>
              </w:rPr>
              <w:footnoteReference w:id="4"/>
            </w:r>
            <w:r>
              <w:rPr>
                <w:b/>
              </w:rPr>
              <w:t xml:space="preserve"> </w:t>
            </w:r>
          </w:p>
        </w:tc>
        <w:tc>
          <w:tcPr>
            <w:tcW w:w="1230" w:type="dxa"/>
            <w:shd w:val="clear" w:color="auto" w:fill="EAD1DC"/>
            <w:tcMar>
              <w:top w:w="100" w:type="dxa"/>
              <w:left w:w="100" w:type="dxa"/>
              <w:bottom w:w="100" w:type="dxa"/>
              <w:right w:w="100" w:type="dxa"/>
            </w:tcMar>
          </w:tcPr>
          <w:p w14:paraId="368E70D4" w14:textId="77777777" w:rsidR="00ED14E0" w:rsidRDefault="00ED14E0">
            <w:pPr>
              <w:widowControl w:val="0"/>
              <w:pBdr>
                <w:top w:val="nil"/>
                <w:left w:val="nil"/>
                <w:bottom w:val="nil"/>
                <w:right w:val="nil"/>
                <w:between w:val="nil"/>
              </w:pBdr>
              <w:spacing w:line="240" w:lineRule="auto"/>
            </w:pPr>
          </w:p>
        </w:tc>
        <w:tc>
          <w:tcPr>
            <w:tcW w:w="2625" w:type="dxa"/>
            <w:shd w:val="clear" w:color="auto" w:fill="EAD1DC"/>
            <w:tcMar>
              <w:top w:w="100" w:type="dxa"/>
              <w:left w:w="100" w:type="dxa"/>
              <w:bottom w:w="100" w:type="dxa"/>
              <w:right w:w="100" w:type="dxa"/>
            </w:tcMar>
          </w:tcPr>
          <w:p w14:paraId="118B3409" w14:textId="77777777" w:rsidR="00ED14E0" w:rsidRDefault="00000000">
            <w:pPr>
              <w:widowControl w:val="0"/>
              <w:spacing w:line="240" w:lineRule="auto"/>
            </w:pPr>
            <w:r>
              <w:t>Applies ethical perspectives to an ethical question with support but is unable to apply ethical perspectives independently (to a new example).</w:t>
            </w:r>
          </w:p>
        </w:tc>
        <w:tc>
          <w:tcPr>
            <w:tcW w:w="2625" w:type="dxa"/>
            <w:shd w:val="clear" w:color="auto" w:fill="EAD1DC"/>
            <w:tcMar>
              <w:top w:w="100" w:type="dxa"/>
              <w:left w:w="100" w:type="dxa"/>
              <w:bottom w:w="100" w:type="dxa"/>
              <w:right w:w="100" w:type="dxa"/>
            </w:tcMar>
          </w:tcPr>
          <w:p w14:paraId="2457E788" w14:textId="77777777" w:rsidR="00ED14E0" w:rsidRDefault="00000000">
            <w:pPr>
              <w:widowControl w:val="0"/>
              <w:spacing w:line="240" w:lineRule="auto"/>
            </w:pPr>
            <w:r>
              <w:t>Applies ethical perspectives to an ethical question, independently (to a new example) and the application is inaccurate.</w:t>
            </w:r>
          </w:p>
        </w:tc>
        <w:tc>
          <w:tcPr>
            <w:tcW w:w="2625" w:type="dxa"/>
            <w:shd w:val="clear" w:color="auto" w:fill="EAD1DC"/>
            <w:tcMar>
              <w:top w:w="100" w:type="dxa"/>
              <w:left w:w="100" w:type="dxa"/>
              <w:bottom w:w="100" w:type="dxa"/>
              <w:right w:w="100" w:type="dxa"/>
            </w:tcMar>
          </w:tcPr>
          <w:p w14:paraId="5B5A10F7" w14:textId="77777777" w:rsidR="00ED14E0" w:rsidRDefault="00000000">
            <w:pPr>
              <w:widowControl w:val="0"/>
              <w:spacing w:line="240" w:lineRule="auto"/>
            </w:pPr>
            <w:r>
              <w:t>Independently (to a new example) applies ethical perspectives to an ethical question, accurately, but does not consider the specific implications of the application.</w:t>
            </w:r>
          </w:p>
        </w:tc>
        <w:tc>
          <w:tcPr>
            <w:tcW w:w="2625" w:type="dxa"/>
            <w:shd w:val="clear" w:color="auto" w:fill="EAD1DC"/>
            <w:tcMar>
              <w:top w:w="100" w:type="dxa"/>
              <w:left w:w="100" w:type="dxa"/>
              <w:bottom w:w="100" w:type="dxa"/>
              <w:right w:w="100" w:type="dxa"/>
            </w:tcMar>
          </w:tcPr>
          <w:p w14:paraId="2949B54A" w14:textId="77777777" w:rsidR="00ED14E0" w:rsidRDefault="00000000">
            <w:pPr>
              <w:widowControl w:val="0"/>
              <w:spacing w:line="240" w:lineRule="auto"/>
            </w:pPr>
            <w:r>
              <w:t xml:space="preserve">Independently applies ethical perspectives to an ethical question, accurately, and </w:t>
            </w:r>
            <w:proofErr w:type="gramStart"/>
            <w:r>
              <w:t>is able to</w:t>
            </w:r>
            <w:proofErr w:type="gramEnd"/>
            <w:r>
              <w:t xml:space="preserve"> consider the full implications of the application.</w:t>
            </w:r>
          </w:p>
        </w:tc>
        <w:tc>
          <w:tcPr>
            <w:tcW w:w="1050" w:type="dxa"/>
            <w:shd w:val="clear" w:color="auto" w:fill="EAD1DC"/>
            <w:tcMar>
              <w:top w:w="100" w:type="dxa"/>
              <w:left w:w="100" w:type="dxa"/>
              <w:bottom w:w="100" w:type="dxa"/>
              <w:right w:w="100" w:type="dxa"/>
            </w:tcMar>
          </w:tcPr>
          <w:p w14:paraId="0BBC9E65" w14:textId="77777777" w:rsidR="00ED14E0" w:rsidRDefault="00ED14E0">
            <w:pPr>
              <w:widowControl w:val="0"/>
              <w:pBdr>
                <w:top w:val="nil"/>
                <w:left w:val="nil"/>
                <w:bottom w:val="nil"/>
                <w:right w:val="nil"/>
                <w:between w:val="nil"/>
              </w:pBdr>
              <w:spacing w:line="240" w:lineRule="auto"/>
            </w:pPr>
          </w:p>
        </w:tc>
      </w:tr>
      <w:tr w:rsidR="00ED14E0" w14:paraId="7EC26729" w14:textId="77777777">
        <w:tc>
          <w:tcPr>
            <w:tcW w:w="1545" w:type="dxa"/>
            <w:shd w:val="clear" w:color="auto" w:fill="D5A6BD"/>
            <w:tcMar>
              <w:top w:w="100" w:type="dxa"/>
              <w:left w:w="100" w:type="dxa"/>
              <w:bottom w:w="100" w:type="dxa"/>
              <w:right w:w="100" w:type="dxa"/>
            </w:tcMar>
          </w:tcPr>
          <w:p w14:paraId="6F41F456" w14:textId="77777777" w:rsidR="00ED14E0" w:rsidRDefault="00000000">
            <w:pPr>
              <w:spacing w:line="240" w:lineRule="auto"/>
              <w:jc w:val="right"/>
              <w:rPr>
                <w:b/>
                <w:vertAlign w:val="superscript"/>
              </w:rPr>
            </w:pPr>
            <w:r>
              <w:rPr>
                <w:b/>
              </w:rPr>
              <w:t>Connecting Values</w:t>
            </w:r>
            <w:r>
              <w:rPr>
                <w:b/>
                <w:vertAlign w:val="superscript"/>
              </w:rPr>
              <w:footnoteReference w:id="5"/>
            </w:r>
          </w:p>
        </w:tc>
        <w:tc>
          <w:tcPr>
            <w:tcW w:w="1230" w:type="dxa"/>
            <w:shd w:val="clear" w:color="auto" w:fill="D5A6BD"/>
            <w:tcMar>
              <w:top w:w="100" w:type="dxa"/>
              <w:left w:w="100" w:type="dxa"/>
              <w:bottom w:w="100" w:type="dxa"/>
              <w:right w:w="100" w:type="dxa"/>
            </w:tcMar>
          </w:tcPr>
          <w:p w14:paraId="504767E6" w14:textId="77777777" w:rsidR="00ED14E0" w:rsidRDefault="00ED14E0">
            <w:pPr>
              <w:widowControl w:val="0"/>
              <w:spacing w:line="240" w:lineRule="auto"/>
            </w:pPr>
          </w:p>
        </w:tc>
        <w:tc>
          <w:tcPr>
            <w:tcW w:w="2625" w:type="dxa"/>
            <w:shd w:val="clear" w:color="auto" w:fill="D5A6BD"/>
            <w:tcMar>
              <w:top w:w="100" w:type="dxa"/>
              <w:left w:w="100" w:type="dxa"/>
              <w:bottom w:w="100" w:type="dxa"/>
              <w:right w:w="100" w:type="dxa"/>
            </w:tcMar>
          </w:tcPr>
          <w:p w14:paraId="5E69C8AE" w14:textId="77777777" w:rsidR="00ED14E0" w:rsidRDefault="00000000">
            <w:pPr>
              <w:widowControl w:val="0"/>
              <w:spacing w:line="240" w:lineRule="auto"/>
            </w:pPr>
            <w:r>
              <w:t>Expresses own values when addressing a complex question/challenge.</w:t>
            </w:r>
          </w:p>
        </w:tc>
        <w:tc>
          <w:tcPr>
            <w:tcW w:w="2625" w:type="dxa"/>
            <w:shd w:val="clear" w:color="auto" w:fill="D5A6BD"/>
            <w:tcMar>
              <w:top w:w="100" w:type="dxa"/>
              <w:left w:w="100" w:type="dxa"/>
              <w:bottom w:w="100" w:type="dxa"/>
              <w:right w:w="100" w:type="dxa"/>
            </w:tcMar>
          </w:tcPr>
          <w:p w14:paraId="1B44AB28" w14:textId="77777777" w:rsidR="00ED14E0" w:rsidRDefault="00000000">
            <w:pPr>
              <w:widowControl w:val="0"/>
              <w:spacing w:line="240" w:lineRule="auto"/>
            </w:pPr>
            <w:r>
              <w:t xml:space="preserve">Connects own values with other, similar values to contribute to understanding of </w:t>
            </w:r>
            <w:r>
              <w:lastRenderedPageBreak/>
              <w:t>a complex question/challenge.</w:t>
            </w:r>
          </w:p>
        </w:tc>
        <w:tc>
          <w:tcPr>
            <w:tcW w:w="2625" w:type="dxa"/>
            <w:shd w:val="clear" w:color="auto" w:fill="D5A6BD"/>
            <w:tcMar>
              <w:top w:w="100" w:type="dxa"/>
              <w:left w:w="100" w:type="dxa"/>
              <w:bottom w:w="100" w:type="dxa"/>
              <w:right w:w="100" w:type="dxa"/>
            </w:tcMar>
          </w:tcPr>
          <w:p w14:paraId="3466DF3F" w14:textId="77777777" w:rsidR="00ED14E0" w:rsidRDefault="00000000">
            <w:pPr>
              <w:widowControl w:val="0"/>
              <w:spacing w:line="240" w:lineRule="auto"/>
            </w:pPr>
            <w:r>
              <w:lastRenderedPageBreak/>
              <w:t>Connects own values with other, diverse values to explore a complex question/challenge.</w:t>
            </w:r>
          </w:p>
        </w:tc>
        <w:tc>
          <w:tcPr>
            <w:tcW w:w="2625" w:type="dxa"/>
            <w:shd w:val="clear" w:color="auto" w:fill="D5A6BD"/>
            <w:tcMar>
              <w:top w:w="100" w:type="dxa"/>
              <w:left w:w="100" w:type="dxa"/>
              <w:bottom w:w="100" w:type="dxa"/>
              <w:right w:w="100" w:type="dxa"/>
            </w:tcMar>
          </w:tcPr>
          <w:p w14:paraId="698F32D3" w14:textId="77777777" w:rsidR="00ED14E0" w:rsidRDefault="00000000">
            <w:pPr>
              <w:widowControl w:val="0"/>
              <w:spacing w:line="240" w:lineRule="auto"/>
            </w:pPr>
            <w:r>
              <w:t>Synthesizes own values and other, diverse values to explore a complex question/challenge.</w:t>
            </w:r>
          </w:p>
        </w:tc>
        <w:tc>
          <w:tcPr>
            <w:tcW w:w="1050" w:type="dxa"/>
            <w:shd w:val="clear" w:color="auto" w:fill="D5A6BD"/>
            <w:tcMar>
              <w:top w:w="100" w:type="dxa"/>
              <w:left w:w="100" w:type="dxa"/>
              <w:bottom w:w="100" w:type="dxa"/>
              <w:right w:w="100" w:type="dxa"/>
            </w:tcMar>
          </w:tcPr>
          <w:p w14:paraId="359DB8AC" w14:textId="77777777" w:rsidR="00ED14E0" w:rsidRDefault="00ED14E0">
            <w:pPr>
              <w:widowControl w:val="0"/>
              <w:spacing w:line="240" w:lineRule="auto"/>
            </w:pPr>
          </w:p>
        </w:tc>
      </w:tr>
      <w:tr w:rsidR="00ED14E0" w14:paraId="4096EF5B" w14:textId="77777777">
        <w:tc>
          <w:tcPr>
            <w:tcW w:w="1545" w:type="dxa"/>
            <w:shd w:val="clear" w:color="auto" w:fill="EAD1DC"/>
            <w:tcMar>
              <w:top w:w="100" w:type="dxa"/>
              <w:left w:w="100" w:type="dxa"/>
              <w:bottom w:w="100" w:type="dxa"/>
              <w:right w:w="100" w:type="dxa"/>
            </w:tcMar>
          </w:tcPr>
          <w:p w14:paraId="02FC9772" w14:textId="77777777" w:rsidR="00ED14E0" w:rsidRDefault="00000000">
            <w:pPr>
              <w:spacing w:line="240" w:lineRule="auto"/>
              <w:jc w:val="right"/>
              <w:rPr>
                <w:b/>
              </w:rPr>
            </w:pPr>
            <w:r>
              <w:rPr>
                <w:b/>
              </w:rPr>
              <w:t>Empathy for Other Values</w:t>
            </w:r>
            <w:r>
              <w:rPr>
                <w:vertAlign w:val="superscript"/>
              </w:rPr>
              <w:footnoteReference w:id="6"/>
            </w:r>
          </w:p>
        </w:tc>
        <w:tc>
          <w:tcPr>
            <w:tcW w:w="1230" w:type="dxa"/>
            <w:shd w:val="clear" w:color="auto" w:fill="EAD1DC"/>
            <w:tcMar>
              <w:top w:w="100" w:type="dxa"/>
              <w:left w:w="100" w:type="dxa"/>
              <w:bottom w:w="100" w:type="dxa"/>
              <w:right w:w="100" w:type="dxa"/>
            </w:tcMar>
          </w:tcPr>
          <w:p w14:paraId="2F4A9428" w14:textId="77777777" w:rsidR="00ED14E0" w:rsidRDefault="00ED14E0">
            <w:pPr>
              <w:widowControl w:val="0"/>
              <w:pBdr>
                <w:top w:val="nil"/>
                <w:left w:val="nil"/>
                <w:bottom w:val="nil"/>
                <w:right w:val="nil"/>
                <w:between w:val="nil"/>
              </w:pBdr>
              <w:spacing w:line="240" w:lineRule="auto"/>
            </w:pPr>
          </w:p>
        </w:tc>
        <w:tc>
          <w:tcPr>
            <w:tcW w:w="2625" w:type="dxa"/>
            <w:shd w:val="clear" w:color="auto" w:fill="EAD1DC"/>
            <w:tcMar>
              <w:top w:w="100" w:type="dxa"/>
              <w:left w:w="100" w:type="dxa"/>
              <w:bottom w:w="100" w:type="dxa"/>
              <w:right w:w="100" w:type="dxa"/>
            </w:tcMar>
          </w:tcPr>
          <w:p w14:paraId="5B228EA9" w14:textId="77777777" w:rsidR="00ED14E0" w:rsidRDefault="00000000">
            <w:pPr>
              <w:widowControl w:val="0"/>
              <w:pBdr>
                <w:top w:val="nil"/>
                <w:left w:val="nil"/>
                <w:bottom w:val="nil"/>
                <w:right w:val="nil"/>
                <w:between w:val="nil"/>
              </w:pBdr>
              <w:spacing w:line="240" w:lineRule="auto"/>
            </w:pPr>
            <w:r>
              <w:t>Views the experience of others but does so through own values; responds in a manner that does not acknowledge differences in the other group.</w:t>
            </w:r>
          </w:p>
        </w:tc>
        <w:tc>
          <w:tcPr>
            <w:tcW w:w="2625" w:type="dxa"/>
            <w:shd w:val="clear" w:color="auto" w:fill="EAD1DC"/>
            <w:tcMar>
              <w:top w:w="100" w:type="dxa"/>
              <w:left w:w="100" w:type="dxa"/>
              <w:bottom w:w="100" w:type="dxa"/>
              <w:right w:w="100" w:type="dxa"/>
            </w:tcMar>
          </w:tcPr>
          <w:p w14:paraId="57C7C8DA" w14:textId="77777777" w:rsidR="00ED14E0" w:rsidRDefault="00000000">
            <w:pPr>
              <w:widowControl w:val="0"/>
              <w:pBdr>
                <w:top w:val="nil"/>
                <w:left w:val="nil"/>
                <w:bottom w:val="nil"/>
                <w:right w:val="nil"/>
                <w:between w:val="nil"/>
              </w:pBdr>
              <w:spacing w:line="240" w:lineRule="auto"/>
            </w:pPr>
            <w:r>
              <w:t>Identifies components of other values but responds with own values; responds in a manner that acknowledges differences in the other group.</w:t>
            </w:r>
          </w:p>
        </w:tc>
        <w:tc>
          <w:tcPr>
            <w:tcW w:w="2625" w:type="dxa"/>
            <w:shd w:val="clear" w:color="auto" w:fill="EAD1DC"/>
            <w:tcMar>
              <w:top w:w="100" w:type="dxa"/>
              <w:left w:w="100" w:type="dxa"/>
              <w:bottom w:w="100" w:type="dxa"/>
              <w:right w:w="100" w:type="dxa"/>
            </w:tcMar>
          </w:tcPr>
          <w:p w14:paraId="26713CC5" w14:textId="77777777" w:rsidR="00ED14E0" w:rsidRDefault="00000000">
            <w:pPr>
              <w:widowControl w:val="0"/>
              <w:pBdr>
                <w:top w:val="nil"/>
                <w:left w:val="nil"/>
                <w:bottom w:val="nil"/>
                <w:right w:val="nil"/>
                <w:between w:val="nil"/>
              </w:pBdr>
              <w:spacing w:line="240" w:lineRule="auto"/>
            </w:pPr>
            <w:r>
              <w:t>Recognizes intellectual and emotional dimensions of other values and sometimes uses other values; inconsistently responds in a manner that recognizes the intellectual and emotional complexity of other values.</w:t>
            </w:r>
          </w:p>
        </w:tc>
        <w:tc>
          <w:tcPr>
            <w:tcW w:w="2625" w:type="dxa"/>
            <w:shd w:val="clear" w:color="auto" w:fill="EAD1DC"/>
            <w:tcMar>
              <w:top w:w="100" w:type="dxa"/>
              <w:left w:w="100" w:type="dxa"/>
              <w:bottom w:w="100" w:type="dxa"/>
              <w:right w:w="100" w:type="dxa"/>
            </w:tcMar>
          </w:tcPr>
          <w:p w14:paraId="613528C8" w14:textId="77777777" w:rsidR="00ED14E0" w:rsidRDefault="00000000">
            <w:pPr>
              <w:widowControl w:val="0"/>
              <w:spacing w:line="240" w:lineRule="auto"/>
            </w:pPr>
            <w:r>
              <w:t>Interprets experience from one’s own values and consistently uses other values; consistently responds in a manner that recognizes the intellectual and emotional complexity of other values.</w:t>
            </w:r>
          </w:p>
        </w:tc>
        <w:tc>
          <w:tcPr>
            <w:tcW w:w="1050" w:type="dxa"/>
            <w:shd w:val="clear" w:color="auto" w:fill="EAD1DC"/>
            <w:tcMar>
              <w:top w:w="100" w:type="dxa"/>
              <w:left w:w="100" w:type="dxa"/>
              <w:bottom w:w="100" w:type="dxa"/>
              <w:right w:w="100" w:type="dxa"/>
            </w:tcMar>
          </w:tcPr>
          <w:p w14:paraId="4F6A6AFB" w14:textId="77777777" w:rsidR="00ED14E0" w:rsidRDefault="00ED14E0">
            <w:pPr>
              <w:widowControl w:val="0"/>
              <w:pBdr>
                <w:top w:val="nil"/>
                <w:left w:val="nil"/>
                <w:bottom w:val="nil"/>
                <w:right w:val="nil"/>
                <w:between w:val="nil"/>
              </w:pBdr>
              <w:spacing w:line="240" w:lineRule="auto"/>
            </w:pPr>
          </w:p>
        </w:tc>
      </w:tr>
      <w:tr w:rsidR="00ED14E0" w14:paraId="63A70F2B" w14:textId="77777777">
        <w:tc>
          <w:tcPr>
            <w:tcW w:w="1545" w:type="dxa"/>
            <w:shd w:val="clear" w:color="auto" w:fill="D5A6BD"/>
            <w:tcMar>
              <w:top w:w="100" w:type="dxa"/>
              <w:left w:w="100" w:type="dxa"/>
              <w:bottom w:w="100" w:type="dxa"/>
              <w:right w:w="100" w:type="dxa"/>
            </w:tcMar>
          </w:tcPr>
          <w:p w14:paraId="79695D88" w14:textId="77777777" w:rsidR="00ED14E0" w:rsidRDefault="00000000">
            <w:pPr>
              <w:spacing w:line="240" w:lineRule="auto"/>
              <w:jc w:val="right"/>
              <w:rPr>
                <w:i/>
                <w:vertAlign w:val="superscript"/>
              </w:rPr>
            </w:pPr>
            <w:r>
              <w:rPr>
                <w:b/>
              </w:rPr>
              <w:t>Connections to Experience</w:t>
            </w:r>
            <w:r>
              <w:rPr>
                <w:vertAlign w:val="superscript"/>
              </w:rPr>
              <w:t xml:space="preserve">5, </w:t>
            </w:r>
            <w:r>
              <w:rPr>
                <w:b/>
                <w:vertAlign w:val="superscript"/>
              </w:rPr>
              <w:footnoteReference w:id="7"/>
            </w:r>
          </w:p>
        </w:tc>
        <w:tc>
          <w:tcPr>
            <w:tcW w:w="1230" w:type="dxa"/>
            <w:shd w:val="clear" w:color="auto" w:fill="D5A6BD"/>
            <w:tcMar>
              <w:top w:w="100" w:type="dxa"/>
              <w:left w:w="100" w:type="dxa"/>
              <w:bottom w:w="100" w:type="dxa"/>
              <w:right w:w="100" w:type="dxa"/>
            </w:tcMar>
          </w:tcPr>
          <w:p w14:paraId="5A3624B0" w14:textId="77777777" w:rsidR="00ED14E0" w:rsidRDefault="00ED14E0">
            <w:pPr>
              <w:widowControl w:val="0"/>
              <w:pBdr>
                <w:top w:val="nil"/>
                <w:left w:val="nil"/>
                <w:bottom w:val="nil"/>
                <w:right w:val="nil"/>
                <w:between w:val="nil"/>
              </w:pBdr>
              <w:spacing w:line="240" w:lineRule="auto"/>
            </w:pPr>
          </w:p>
        </w:tc>
        <w:tc>
          <w:tcPr>
            <w:tcW w:w="2625" w:type="dxa"/>
            <w:shd w:val="clear" w:color="auto" w:fill="D5A6BD"/>
            <w:tcMar>
              <w:top w:w="100" w:type="dxa"/>
              <w:left w:w="100" w:type="dxa"/>
              <w:bottom w:w="100" w:type="dxa"/>
              <w:right w:w="100" w:type="dxa"/>
            </w:tcMar>
          </w:tcPr>
          <w:p w14:paraId="6A2A5E8F" w14:textId="77777777" w:rsidR="00ED14E0" w:rsidRDefault="00000000">
            <w:pPr>
              <w:widowControl w:val="0"/>
              <w:pBdr>
                <w:top w:val="nil"/>
                <w:left w:val="nil"/>
                <w:bottom w:val="nil"/>
                <w:right w:val="nil"/>
                <w:between w:val="nil"/>
              </w:pBdr>
              <w:spacing w:line="240" w:lineRule="auto"/>
            </w:pPr>
            <w:r>
              <w:t>Identifies connections between life experiences and those academic texts and ideas perceived as similar and related to own interests.</w:t>
            </w:r>
          </w:p>
        </w:tc>
        <w:tc>
          <w:tcPr>
            <w:tcW w:w="2625" w:type="dxa"/>
            <w:shd w:val="clear" w:color="auto" w:fill="D5A6BD"/>
            <w:tcMar>
              <w:top w:w="100" w:type="dxa"/>
              <w:left w:w="100" w:type="dxa"/>
              <w:bottom w:w="100" w:type="dxa"/>
              <w:right w:w="100" w:type="dxa"/>
            </w:tcMar>
          </w:tcPr>
          <w:p w14:paraId="767A7FFE" w14:textId="77777777" w:rsidR="00ED14E0" w:rsidRDefault="00000000">
            <w:pPr>
              <w:widowControl w:val="0"/>
              <w:pBdr>
                <w:top w:val="nil"/>
                <w:left w:val="nil"/>
                <w:bottom w:val="nil"/>
                <w:right w:val="nil"/>
                <w:between w:val="nil"/>
              </w:pBdr>
              <w:spacing w:line="240" w:lineRule="auto"/>
            </w:pPr>
            <w:r>
              <w:t>Compares life experiences and academic knowledge to infer differences, as well as similarities, and acknowledge perspectives other than own.</w:t>
            </w:r>
          </w:p>
        </w:tc>
        <w:tc>
          <w:tcPr>
            <w:tcW w:w="2625" w:type="dxa"/>
            <w:shd w:val="clear" w:color="auto" w:fill="D5A6BD"/>
            <w:tcMar>
              <w:top w:w="100" w:type="dxa"/>
              <w:left w:w="100" w:type="dxa"/>
              <w:bottom w:w="100" w:type="dxa"/>
              <w:right w:w="100" w:type="dxa"/>
            </w:tcMar>
          </w:tcPr>
          <w:p w14:paraId="548D30A1" w14:textId="77777777" w:rsidR="00ED14E0" w:rsidRDefault="00000000">
            <w:pPr>
              <w:widowControl w:val="0"/>
              <w:pBdr>
                <w:top w:val="nil"/>
                <w:left w:val="nil"/>
                <w:bottom w:val="nil"/>
                <w:right w:val="nil"/>
                <w:between w:val="nil"/>
              </w:pBdr>
              <w:spacing w:line="240" w:lineRule="auto"/>
            </w:pPr>
            <w:r>
              <w:t>Effectively selects and develops examples of life experiences, drawn from a variety of contexts (e.g., family life, artistic participation, civic involvement, work experience), to illuminate academic knowledge and/or own point of view.</w:t>
            </w:r>
          </w:p>
        </w:tc>
        <w:tc>
          <w:tcPr>
            <w:tcW w:w="2625" w:type="dxa"/>
            <w:shd w:val="clear" w:color="auto" w:fill="D5A6BD"/>
            <w:tcMar>
              <w:top w:w="100" w:type="dxa"/>
              <w:left w:w="100" w:type="dxa"/>
              <w:bottom w:w="100" w:type="dxa"/>
              <w:right w:w="100" w:type="dxa"/>
            </w:tcMar>
          </w:tcPr>
          <w:p w14:paraId="478F65FB" w14:textId="77777777" w:rsidR="00ED14E0" w:rsidRDefault="00000000">
            <w:pPr>
              <w:widowControl w:val="0"/>
              <w:spacing w:line="240" w:lineRule="auto"/>
            </w:pPr>
            <w:r>
              <w:t>Meaningfully synthesizes connections among experiences outside of the formal classroom (including life experiences and academic experiences such as internships and travel abroad) to deepen understanding of academic knowledge and to broaden own points of view.</w:t>
            </w:r>
          </w:p>
        </w:tc>
        <w:tc>
          <w:tcPr>
            <w:tcW w:w="1050" w:type="dxa"/>
            <w:shd w:val="clear" w:color="auto" w:fill="D5A6BD"/>
            <w:tcMar>
              <w:top w:w="100" w:type="dxa"/>
              <w:left w:w="100" w:type="dxa"/>
              <w:bottom w:w="100" w:type="dxa"/>
              <w:right w:w="100" w:type="dxa"/>
            </w:tcMar>
          </w:tcPr>
          <w:p w14:paraId="634831B0" w14:textId="77777777" w:rsidR="00ED14E0" w:rsidRDefault="00ED14E0">
            <w:pPr>
              <w:widowControl w:val="0"/>
              <w:pBdr>
                <w:top w:val="nil"/>
                <w:left w:val="nil"/>
                <w:bottom w:val="nil"/>
                <w:right w:val="nil"/>
                <w:between w:val="nil"/>
              </w:pBdr>
              <w:spacing w:line="240" w:lineRule="auto"/>
            </w:pPr>
          </w:p>
        </w:tc>
      </w:tr>
      <w:tr w:rsidR="00ED14E0" w14:paraId="2123EC33" w14:textId="77777777">
        <w:trPr>
          <w:trHeight w:val="400"/>
        </w:trPr>
        <w:tc>
          <w:tcPr>
            <w:tcW w:w="14325" w:type="dxa"/>
            <w:gridSpan w:val="7"/>
            <w:tcBorders>
              <w:top w:val="single" w:sz="18" w:space="0" w:color="000000"/>
            </w:tcBorders>
            <w:shd w:val="clear" w:color="auto" w:fill="073763"/>
            <w:tcMar>
              <w:top w:w="100" w:type="dxa"/>
              <w:left w:w="100" w:type="dxa"/>
              <w:bottom w:w="100" w:type="dxa"/>
              <w:right w:w="100" w:type="dxa"/>
            </w:tcMar>
            <w:vAlign w:val="center"/>
          </w:tcPr>
          <w:p w14:paraId="1AFDC37C" w14:textId="77777777" w:rsidR="00ED14E0" w:rsidRDefault="00000000">
            <w:pPr>
              <w:pStyle w:val="Heading3"/>
            </w:pPr>
            <w:bookmarkStart w:id="2" w:name="_34grfowaqx2b" w:colFirst="0" w:colLast="0"/>
            <w:bookmarkEnd w:id="2"/>
            <w:r>
              <w:t>Critical Thinking Student Learning Outcome</w:t>
            </w:r>
          </w:p>
          <w:p w14:paraId="14411DE1" w14:textId="77777777" w:rsidR="00ED14E0" w:rsidRDefault="00000000">
            <w:pPr>
              <w:spacing w:line="240" w:lineRule="auto"/>
              <w:jc w:val="center"/>
              <w:rPr>
                <w:b/>
                <w:color w:val="FFFFFF"/>
              </w:rPr>
            </w:pPr>
            <w:r>
              <w:rPr>
                <w:color w:val="FFFFFF"/>
              </w:rPr>
              <w:t xml:space="preserve">FTS students will </w:t>
            </w:r>
            <w:r>
              <w:rPr>
                <w:b/>
                <w:color w:val="FFFFFF"/>
              </w:rPr>
              <w:t>evaluate arguments and their underlying assumptions from multiple perspectives.</w:t>
            </w:r>
          </w:p>
        </w:tc>
      </w:tr>
      <w:tr w:rsidR="00ED14E0" w14:paraId="0DCD47ED" w14:textId="77777777">
        <w:tc>
          <w:tcPr>
            <w:tcW w:w="1545" w:type="dxa"/>
            <w:shd w:val="clear" w:color="auto" w:fill="CFE2F3"/>
            <w:tcMar>
              <w:top w:w="100" w:type="dxa"/>
              <w:left w:w="100" w:type="dxa"/>
              <w:bottom w:w="100" w:type="dxa"/>
              <w:right w:w="100" w:type="dxa"/>
            </w:tcMar>
          </w:tcPr>
          <w:p w14:paraId="7A29217D" w14:textId="77777777" w:rsidR="00ED14E0" w:rsidRDefault="00000000">
            <w:pPr>
              <w:spacing w:line="240" w:lineRule="auto"/>
              <w:jc w:val="right"/>
              <w:rPr>
                <w:vertAlign w:val="superscript"/>
              </w:rPr>
            </w:pPr>
            <w:r>
              <w:rPr>
                <w:b/>
              </w:rPr>
              <w:t>Evaluation of Different Positions (Arguments, Perspectives, Values)</w:t>
            </w:r>
            <w:r>
              <w:rPr>
                <w:vertAlign w:val="superscript"/>
              </w:rPr>
              <w:t>4</w:t>
            </w:r>
          </w:p>
        </w:tc>
        <w:tc>
          <w:tcPr>
            <w:tcW w:w="1230" w:type="dxa"/>
            <w:shd w:val="clear" w:color="auto" w:fill="CFE2F3"/>
            <w:tcMar>
              <w:top w:w="100" w:type="dxa"/>
              <w:left w:w="100" w:type="dxa"/>
              <w:bottom w:w="100" w:type="dxa"/>
              <w:right w:w="100" w:type="dxa"/>
            </w:tcMar>
          </w:tcPr>
          <w:p w14:paraId="16F6A4C2" w14:textId="77777777" w:rsidR="00ED14E0" w:rsidRDefault="00ED14E0">
            <w:pPr>
              <w:widowControl w:val="0"/>
              <w:spacing w:line="240" w:lineRule="auto"/>
            </w:pPr>
          </w:p>
        </w:tc>
        <w:tc>
          <w:tcPr>
            <w:tcW w:w="2625" w:type="dxa"/>
            <w:shd w:val="clear" w:color="auto" w:fill="CFE2F3"/>
            <w:tcMar>
              <w:top w:w="100" w:type="dxa"/>
              <w:left w:w="100" w:type="dxa"/>
              <w:bottom w:w="100" w:type="dxa"/>
              <w:right w:w="100" w:type="dxa"/>
            </w:tcMar>
          </w:tcPr>
          <w:p w14:paraId="0F1B7322" w14:textId="77777777" w:rsidR="00ED14E0" w:rsidRDefault="00000000">
            <w:pPr>
              <w:widowControl w:val="0"/>
              <w:spacing w:line="240" w:lineRule="auto"/>
            </w:pPr>
            <w:r>
              <w:t>States a position but cannot state the objections to and assumptions and limitations of different positions.</w:t>
            </w:r>
          </w:p>
        </w:tc>
        <w:tc>
          <w:tcPr>
            <w:tcW w:w="2625" w:type="dxa"/>
            <w:shd w:val="clear" w:color="auto" w:fill="CFE2F3"/>
            <w:tcMar>
              <w:top w:w="100" w:type="dxa"/>
              <w:left w:w="100" w:type="dxa"/>
              <w:bottom w:w="100" w:type="dxa"/>
              <w:right w:w="100" w:type="dxa"/>
            </w:tcMar>
          </w:tcPr>
          <w:p w14:paraId="2B1C8BDC" w14:textId="77777777" w:rsidR="00ED14E0" w:rsidRDefault="00000000">
            <w:pPr>
              <w:widowControl w:val="0"/>
              <w:spacing w:line="240" w:lineRule="auto"/>
            </w:pPr>
            <w:r>
              <w:t>States a position and can state the objections to, assumptions and implications of different positions but does not respond to them (and ultimately, objections, assumptions, and implications are compartmentalized and do not affect the student’s position.</w:t>
            </w:r>
          </w:p>
        </w:tc>
        <w:tc>
          <w:tcPr>
            <w:tcW w:w="2625" w:type="dxa"/>
            <w:shd w:val="clear" w:color="auto" w:fill="CFE2F3"/>
            <w:tcMar>
              <w:top w:w="100" w:type="dxa"/>
              <w:left w:w="100" w:type="dxa"/>
              <w:bottom w:w="100" w:type="dxa"/>
              <w:right w:w="100" w:type="dxa"/>
            </w:tcMar>
          </w:tcPr>
          <w:p w14:paraId="012E4CB8" w14:textId="77777777" w:rsidR="00ED14E0" w:rsidRDefault="00000000">
            <w:pPr>
              <w:widowControl w:val="0"/>
              <w:spacing w:line="240" w:lineRule="auto"/>
            </w:pPr>
            <w:r>
              <w:t>States a position and can state the objections to, assumptions and implications of, and respond to the objections to, assumptions and implications of different positions. The response is inadequate.</w:t>
            </w:r>
          </w:p>
        </w:tc>
        <w:tc>
          <w:tcPr>
            <w:tcW w:w="2625" w:type="dxa"/>
            <w:shd w:val="clear" w:color="auto" w:fill="CFE2F3"/>
            <w:tcMar>
              <w:top w:w="100" w:type="dxa"/>
              <w:left w:w="100" w:type="dxa"/>
              <w:bottom w:w="100" w:type="dxa"/>
              <w:right w:w="100" w:type="dxa"/>
            </w:tcMar>
          </w:tcPr>
          <w:p w14:paraId="6841E17E" w14:textId="77777777" w:rsidR="00ED14E0" w:rsidRDefault="00000000">
            <w:pPr>
              <w:widowControl w:val="0"/>
              <w:spacing w:line="240" w:lineRule="auto"/>
            </w:pPr>
            <w:r>
              <w:t>States a position and can state the objections to, assumptions and implications of, and can reasonably defend against the objections to, assumptions and implications of different positions. The defense is adequate and effective.</w:t>
            </w:r>
          </w:p>
        </w:tc>
        <w:tc>
          <w:tcPr>
            <w:tcW w:w="1050" w:type="dxa"/>
            <w:shd w:val="clear" w:color="auto" w:fill="CFE2F3"/>
            <w:tcMar>
              <w:top w:w="100" w:type="dxa"/>
              <w:left w:w="100" w:type="dxa"/>
              <w:bottom w:w="100" w:type="dxa"/>
              <w:right w:w="100" w:type="dxa"/>
            </w:tcMar>
          </w:tcPr>
          <w:p w14:paraId="427496E3" w14:textId="77777777" w:rsidR="00ED14E0" w:rsidRDefault="00ED14E0">
            <w:pPr>
              <w:widowControl w:val="0"/>
              <w:spacing w:line="240" w:lineRule="auto"/>
            </w:pPr>
          </w:p>
        </w:tc>
      </w:tr>
      <w:tr w:rsidR="00ED14E0" w14:paraId="6B48109B" w14:textId="77777777">
        <w:tc>
          <w:tcPr>
            <w:tcW w:w="1545" w:type="dxa"/>
            <w:shd w:val="clear" w:color="auto" w:fill="9FC5E8"/>
            <w:tcMar>
              <w:top w:w="100" w:type="dxa"/>
              <w:left w:w="100" w:type="dxa"/>
              <w:bottom w:w="100" w:type="dxa"/>
              <w:right w:w="100" w:type="dxa"/>
            </w:tcMar>
          </w:tcPr>
          <w:p w14:paraId="174D1130" w14:textId="77777777" w:rsidR="00ED14E0" w:rsidRDefault="00000000">
            <w:pPr>
              <w:widowControl w:val="0"/>
              <w:pBdr>
                <w:top w:val="nil"/>
                <w:left w:val="nil"/>
                <w:bottom w:val="nil"/>
                <w:right w:val="nil"/>
                <w:between w:val="nil"/>
              </w:pBdr>
              <w:spacing w:line="240" w:lineRule="auto"/>
              <w:jc w:val="right"/>
              <w:rPr>
                <w:i/>
              </w:rPr>
            </w:pPr>
            <w:r>
              <w:rPr>
                <w:b/>
              </w:rPr>
              <w:t xml:space="preserve">Evaluating </w:t>
            </w:r>
            <w:r>
              <w:rPr>
                <w:b/>
              </w:rPr>
              <w:lastRenderedPageBreak/>
              <w:t>Arguments</w:t>
            </w:r>
            <w:r>
              <w:rPr>
                <w:vertAlign w:val="superscript"/>
              </w:rPr>
              <w:footnoteReference w:id="8"/>
            </w:r>
          </w:p>
        </w:tc>
        <w:tc>
          <w:tcPr>
            <w:tcW w:w="1230" w:type="dxa"/>
            <w:shd w:val="clear" w:color="auto" w:fill="9FC5E8"/>
            <w:tcMar>
              <w:top w:w="100" w:type="dxa"/>
              <w:left w:w="100" w:type="dxa"/>
              <w:bottom w:w="100" w:type="dxa"/>
              <w:right w:w="100" w:type="dxa"/>
            </w:tcMar>
          </w:tcPr>
          <w:p w14:paraId="029919DC" w14:textId="77777777" w:rsidR="00ED14E0" w:rsidRDefault="00ED14E0">
            <w:pPr>
              <w:widowControl w:val="0"/>
              <w:pBdr>
                <w:top w:val="nil"/>
                <w:left w:val="nil"/>
                <w:bottom w:val="nil"/>
                <w:right w:val="nil"/>
                <w:between w:val="nil"/>
              </w:pBdr>
              <w:spacing w:line="240" w:lineRule="auto"/>
            </w:pPr>
          </w:p>
        </w:tc>
        <w:tc>
          <w:tcPr>
            <w:tcW w:w="2625" w:type="dxa"/>
            <w:shd w:val="clear" w:color="auto" w:fill="9FC5E8"/>
            <w:tcMar>
              <w:top w:w="100" w:type="dxa"/>
              <w:left w:w="100" w:type="dxa"/>
              <w:bottom w:w="100" w:type="dxa"/>
              <w:right w:w="100" w:type="dxa"/>
            </w:tcMar>
          </w:tcPr>
          <w:p w14:paraId="4681C1F9" w14:textId="77777777" w:rsidR="00ED14E0" w:rsidRDefault="00000000">
            <w:pPr>
              <w:widowControl w:val="0"/>
              <w:pBdr>
                <w:top w:val="nil"/>
                <w:left w:val="nil"/>
                <w:bottom w:val="nil"/>
                <w:right w:val="nil"/>
                <w:between w:val="nil"/>
              </w:pBdr>
              <w:spacing w:line="240" w:lineRule="auto"/>
            </w:pPr>
            <w:r>
              <w:t xml:space="preserve">Arguments are taken from </w:t>
            </w:r>
            <w:r>
              <w:lastRenderedPageBreak/>
              <w:t>source(s) with minimal evaluation. Viewpoints are taken as mostly fact, with little questioning.</w:t>
            </w:r>
          </w:p>
        </w:tc>
        <w:tc>
          <w:tcPr>
            <w:tcW w:w="2625" w:type="dxa"/>
            <w:shd w:val="clear" w:color="auto" w:fill="9FC5E8"/>
            <w:tcMar>
              <w:top w:w="100" w:type="dxa"/>
              <w:left w:w="100" w:type="dxa"/>
              <w:bottom w:w="100" w:type="dxa"/>
              <w:right w:w="100" w:type="dxa"/>
            </w:tcMar>
          </w:tcPr>
          <w:p w14:paraId="7AFB3802" w14:textId="77777777" w:rsidR="00ED14E0" w:rsidRDefault="00000000">
            <w:pPr>
              <w:widowControl w:val="0"/>
              <w:pBdr>
                <w:top w:val="nil"/>
                <w:left w:val="nil"/>
                <w:bottom w:val="nil"/>
                <w:right w:val="nil"/>
                <w:between w:val="nil"/>
              </w:pBdr>
              <w:spacing w:line="240" w:lineRule="auto"/>
            </w:pPr>
            <w:r>
              <w:lastRenderedPageBreak/>
              <w:t xml:space="preserve">Arguments are taken from </w:t>
            </w:r>
            <w:r>
              <w:lastRenderedPageBreak/>
              <w:t>source(s) with some evaluation, but not enough to develop a coherent analysis or synthesis. Some viewpoints are taken as fact, with little questioning.</w:t>
            </w:r>
          </w:p>
        </w:tc>
        <w:tc>
          <w:tcPr>
            <w:tcW w:w="2625" w:type="dxa"/>
            <w:shd w:val="clear" w:color="auto" w:fill="9FC5E8"/>
            <w:tcMar>
              <w:top w:w="100" w:type="dxa"/>
              <w:left w:w="100" w:type="dxa"/>
              <w:bottom w:w="100" w:type="dxa"/>
              <w:right w:w="100" w:type="dxa"/>
            </w:tcMar>
          </w:tcPr>
          <w:p w14:paraId="12A0B1AB" w14:textId="77777777" w:rsidR="00ED14E0" w:rsidRDefault="00000000">
            <w:pPr>
              <w:widowControl w:val="0"/>
              <w:pBdr>
                <w:top w:val="nil"/>
                <w:left w:val="nil"/>
                <w:bottom w:val="nil"/>
                <w:right w:val="nil"/>
                <w:between w:val="nil"/>
              </w:pBdr>
              <w:spacing w:line="240" w:lineRule="auto"/>
            </w:pPr>
            <w:r>
              <w:lastRenderedPageBreak/>
              <w:t xml:space="preserve">Arguments are taken from </w:t>
            </w:r>
            <w:r>
              <w:lastRenderedPageBreak/>
              <w:t>source(s) with enough evaluation to develop a coherent analysis or synthesis. Viewpoints are subject to questioning.</w:t>
            </w:r>
          </w:p>
        </w:tc>
        <w:tc>
          <w:tcPr>
            <w:tcW w:w="2625" w:type="dxa"/>
            <w:shd w:val="clear" w:color="auto" w:fill="9FC5E8"/>
            <w:tcMar>
              <w:top w:w="100" w:type="dxa"/>
              <w:left w:w="100" w:type="dxa"/>
              <w:bottom w:w="100" w:type="dxa"/>
              <w:right w:w="100" w:type="dxa"/>
            </w:tcMar>
          </w:tcPr>
          <w:p w14:paraId="39CCBA39" w14:textId="77777777" w:rsidR="00ED14E0" w:rsidRDefault="00000000">
            <w:pPr>
              <w:widowControl w:val="0"/>
              <w:pBdr>
                <w:top w:val="nil"/>
                <w:left w:val="nil"/>
                <w:bottom w:val="nil"/>
                <w:right w:val="nil"/>
                <w:between w:val="nil"/>
              </w:pBdr>
              <w:spacing w:line="240" w:lineRule="auto"/>
            </w:pPr>
            <w:r>
              <w:lastRenderedPageBreak/>
              <w:t xml:space="preserve">Arguments are taken from </w:t>
            </w:r>
            <w:r>
              <w:lastRenderedPageBreak/>
              <w:t>source(s) with enough evaluation to develop a comprehensive analysis or synthesis. Viewpoints are questioned thoroughly.</w:t>
            </w:r>
          </w:p>
        </w:tc>
        <w:tc>
          <w:tcPr>
            <w:tcW w:w="1050" w:type="dxa"/>
            <w:shd w:val="clear" w:color="auto" w:fill="9FC5E8"/>
            <w:tcMar>
              <w:top w:w="100" w:type="dxa"/>
              <w:left w:w="100" w:type="dxa"/>
              <w:bottom w:w="100" w:type="dxa"/>
              <w:right w:w="100" w:type="dxa"/>
            </w:tcMar>
          </w:tcPr>
          <w:p w14:paraId="7E10F305" w14:textId="77777777" w:rsidR="00ED14E0" w:rsidRDefault="00ED14E0">
            <w:pPr>
              <w:widowControl w:val="0"/>
              <w:pBdr>
                <w:top w:val="nil"/>
                <w:left w:val="nil"/>
                <w:bottom w:val="nil"/>
                <w:right w:val="nil"/>
                <w:between w:val="nil"/>
              </w:pBdr>
              <w:spacing w:line="240" w:lineRule="auto"/>
            </w:pPr>
          </w:p>
        </w:tc>
      </w:tr>
      <w:tr w:rsidR="00ED14E0" w14:paraId="2C97B9C5" w14:textId="77777777">
        <w:tc>
          <w:tcPr>
            <w:tcW w:w="1545" w:type="dxa"/>
            <w:shd w:val="clear" w:color="auto" w:fill="CFE2F3"/>
            <w:tcMar>
              <w:top w:w="100" w:type="dxa"/>
              <w:left w:w="100" w:type="dxa"/>
              <w:bottom w:w="100" w:type="dxa"/>
              <w:right w:w="100" w:type="dxa"/>
            </w:tcMar>
          </w:tcPr>
          <w:p w14:paraId="46B20C02" w14:textId="77777777" w:rsidR="00ED14E0" w:rsidRDefault="00000000">
            <w:pPr>
              <w:widowControl w:val="0"/>
              <w:pBdr>
                <w:top w:val="nil"/>
                <w:left w:val="nil"/>
                <w:bottom w:val="nil"/>
                <w:right w:val="nil"/>
                <w:between w:val="nil"/>
              </w:pBdr>
              <w:spacing w:line="240" w:lineRule="auto"/>
              <w:jc w:val="right"/>
              <w:rPr>
                <w:vertAlign w:val="superscript"/>
              </w:rPr>
            </w:pPr>
            <w:r>
              <w:rPr>
                <w:b/>
              </w:rPr>
              <w:t>Influence of Context and Assumptions</w:t>
            </w:r>
            <w:r>
              <w:rPr>
                <w:vertAlign w:val="superscript"/>
              </w:rPr>
              <w:t>10</w:t>
            </w:r>
          </w:p>
        </w:tc>
        <w:tc>
          <w:tcPr>
            <w:tcW w:w="1230" w:type="dxa"/>
            <w:shd w:val="clear" w:color="auto" w:fill="CFE2F3"/>
            <w:tcMar>
              <w:top w:w="100" w:type="dxa"/>
              <w:left w:w="100" w:type="dxa"/>
              <w:bottom w:w="100" w:type="dxa"/>
              <w:right w:w="100" w:type="dxa"/>
            </w:tcMar>
          </w:tcPr>
          <w:p w14:paraId="378392C0" w14:textId="77777777" w:rsidR="00ED14E0" w:rsidRDefault="00ED14E0">
            <w:pPr>
              <w:widowControl w:val="0"/>
              <w:pBdr>
                <w:top w:val="nil"/>
                <w:left w:val="nil"/>
                <w:bottom w:val="nil"/>
                <w:right w:val="nil"/>
                <w:between w:val="nil"/>
              </w:pBdr>
              <w:spacing w:line="240" w:lineRule="auto"/>
            </w:pPr>
          </w:p>
        </w:tc>
        <w:tc>
          <w:tcPr>
            <w:tcW w:w="2625" w:type="dxa"/>
            <w:shd w:val="clear" w:color="auto" w:fill="CFE2F3"/>
            <w:tcMar>
              <w:top w:w="100" w:type="dxa"/>
              <w:left w:w="100" w:type="dxa"/>
              <w:bottom w:w="100" w:type="dxa"/>
              <w:right w:w="100" w:type="dxa"/>
            </w:tcMar>
          </w:tcPr>
          <w:p w14:paraId="4DA1AA6A" w14:textId="77777777" w:rsidR="00ED14E0" w:rsidRDefault="00000000">
            <w:pPr>
              <w:widowControl w:val="0"/>
              <w:pBdr>
                <w:top w:val="nil"/>
                <w:left w:val="nil"/>
                <w:bottom w:val="nil"/>
                <w:right w:val="nil"/>
                <w:between w:val="nil"/>
              </w:pBdr>
              <w:spacing w:line="240" w:lineRule="auto"/>
            </w:pPr>
            <w:r>
              <w:t>Shows an emerging awareness of present assumptions (sometimes labels assertions as assumptions). Begins to identify some contexts when presenting a position.</w:t>
            </w:r>
          </w:p>
        </w:tc>
        <w:tc>
          <w:tcPr>
            <w:tcW w:w="2625" w:type="dxa"/>
            <w:shd w:val="clear" w:color="auto" w:fill="CFE2F3"/>
            <w:tcMar>
              <w:top w:w="100" w:type="dxa"/>
              <w:left w:w="100" w:type="dxa"/>
              <w:bottom w:w="100" w:type="dxa"/>
              <w:right w:w="100" w:type="dxa"/>
            </w:tcMar>
          </w:tcPr>
          <w:p w14:paraId="4E13761B" w14:textId="77777777" w:rsidR="00ED14E0" w:rsidRDefault="00000000">
            <w:pPr>
              <w:widowControl w:val="0"/>
              <w:pBdr>
                <w:top w:val="nil"/>
                <w:left w:val="nil"/>
                <w:bottom w:val="nil"/>
                <w:right w:val="nil"/>
                <w:between w:val="nil"/>
              </w:pBdr>
              <w:spacing w:line="240" w:lineRule="auto"/>
            </w:pPr>
            <w:r>
              <w:t>Questions some assumptions. Identifies several relevant contexts when presenting a position. May be more aware of others' assumptions than one's own (or vice versa).</w:t>
            </w:r>
          </w:p>
        </w:tc>
        <w:tc>
          <w:tcPr>
            <w:tcW w:w="2625" w:type="dxa"/>
            <w:shd w:val="clear" w:color="auto" w:fill="CFE2F3"/>
            <w:tcMar>
              <w:top w:w="100" w:type="dxa"/>
              <w:left w:w="100" w:type="dxa"/>
              <w:bottom w:w="100" w:type="dxa"/>
              <w:right w:w="100" w:type="dxa"/>
            </w:tcMar>
          </w:tcPr>
          <w:p w14:paraId="5BA6BC3A" w14:textId="77777777" w:rsidR="00ED14E0" w:rsidRDefault="00000000">
            <w:pPr>
              <w:widowControl w:val="0"/>
              <w:pBdr>
                <w:top w:val="nil"/>
                <w:left w:val="nil"/>
                <w:bottom w:val="nil"/>
                <w:right w:val="nil"/>
                <w:between w:val="nil"/>
              </w:pBdr>
              <w:spacing w:line="240" w:lineRule="auto"/>
            </w:pPr>
            <w:r>
              <w:t>Identifies own and others’ assumptions and several relevant contexts when presenting a position.</w:t>
            </w:r>
          </w:p>
        </w:tc>
        <w:tc>
          <w:tcPr>
            <w:tcW w:w="2625" w:type="dxa"/>
            <w:shd w:val="clear" w:color="auto" w:fill="CFE2F3"/>
            <w:tcMar>
              <w:top w:w="100" w:type="dxa"/>
              <w:left w:w="100" w:type="dxa"/>
              <w:bottom w:w="100" w:type="dxa"/>
              <w:right w:w="100" w:type="dxa"/>
            </w:tcMar>
          </w:tcPr>
          <w:p w14:paraId="268FF5C8" w14:textId="77777777" w:rsidR="00ED14E0" w:rsidRDefault="00000000">
            <w:pPr>
              <w:widowControl w:val="0"/>
              <w:pBdr>
                <w:top w:val="nil"/>
                <w:left w:val="nil"/>
                <w:bottom w:val="nil"/>
                <w:right w:val="nil"/>
                <w:between w:val="nil"/>
              </w:pBdr>
              <w:spacing w:line="240" w:lineRule="auto"/>
            </w:pPr>
            <w:r>
              <w:t>Thoroughly (systematically and methodically) analyzes own and others' assumptions and carefully evaluates the relevance of contexts when presenting a position.</w:t>
            </w:r>
          </w:p>
        </w:tc>
        <w:tc>
          <w:tcPr>
            <w:tcW w:w="1050" w:type="dxa"/>
            <w:shd w:val="clear" w:color="auto" w:fill="CFE2F3"/>
            <w:tcMar>
              <w:top w:w="100" w:type="dxa"/>
              <w:left w:w="100" w:type="dxa"/>
              <w:bottom w:w="100" w:type="dxa"/>
              <w:right w:w="100" w:type="dxa"/>
            </w:tcMar>
          </w:tcPr>
          <w:p w14:paraId="7BD4C508" w14:textId="77777777" w:rsidR="00ED14E0" w:rsidRDefault="00ED14E0">
            <w:pPr>
              <w:widowControl w:val="0"/>
              <w:pBdr>
                <w:top w:val="nil"/>
                <w:left w:val="nil"/>
                <w:bottom w:val="nil"/>
                <w:right w:val="nil"/>
                <w:between w:val="nil"/>
              </w:pBdr>
              <w:spacing w:line="240" w:lineRule="auto"/>
            </w:pPr>
          </w:p>
        </w:tc>
      </w:tr>
      <w:tr w:rsidR="00ED14E0" w14:paraId="0069D936" w14:textId="77777777">
        <w:trPr>
          <w:trHeight w:val="400"/>
        </w:trPr>
        <w:tc>
          <w:tcPr>
            <w:tcW w:w="14325" w:type="dxa"/>
            <w:gridSpan w:val="7"/>
            <w:vMerge w:val="restart"/>
            <w:tcBorders>
              <w:top w:val="single" w:sz="18" w:space="0" w:color="000000"/>
            </w:tcBorders>
            <w:shd w:val="clear" w:color="auto" w:fill="134F5C"/>
            <w:tcMar>
              <w:top w:w="100" w:type="dxa"/>
              <w:left w:w="100" w:type="dxa"/>
              <w:bottom w:w="100" w:type="dxa"/>
              <w:right w:w="100" w:type="dxa"/>
            </w:tcMar>
            <w:vAlign w:val="center"/>
          </w:tcPr>
          <w:p w14:paraId="53BE89C4" w14:textId="77777777" w:rsidR="00ED14E0" w:rsidRDefault="00000000">
            <w:pPr>
              <w:pStyle w:val="Heading3"/>
            </w:pPr>
            <w:bookmarkStart w:id="3" w:name="_30mrezkui1f9" w:colFirst="0" w:colLast="0"/>
            <w:bookmarkEnd w:id="3"/>
            <w:r>
              <w:t>Writing and Speaking Student Learning Outcomes</w:t>
            </w:r>
          </w:p>
          <w:p w14:paraId="4FB7FDD1" w14:textId="77777777" w:rsidR="00ED14E0" w:rsidRDefault="00000000">
            <w:pPr>
              <w:spacing w:line="240" w:lineRule="auto"/>
              <w:jc w:val="center"/>
              <w:rPr>
                <w:b/>
                <w:color w:val="FFFFFF"/>
              </w:rPr>
            </w:pPr>
            <w:r>
              <w:rPr>
                <w:color w:val="FFFFFF"/>
              </w:rPr>
              <w:t>FTS students will</w:t>
            </w:r>
            <w:r>
              <w:rPr>
                <w:b/>
                <w:color w:val="FFFFFF"/>
              </w:rPr>
              <w:t xml:space="preserve"> consider purpose, audience, and context when writing and speaking.</w:t>
            </w:r>
          </w:p>
          <w:p w14:paraId="60911E0E" w14:textId="77777777" w:rsidR="00ED14E0" w:rsidRDefault="00ED14E0">
            <w:pPr>
              <w:spacing w:line="240" w:lineRule="auto"/>
              <w:jc w:val="center"/>
              <w:rPr>
                <w:b/>
                <w:color w:val="FFFFFF"/>
                <w:sz w:val="10"/>
                <w:szCs w:val="10"/>
              </w:rPr>
            </w:pPr>
          </w:p>
          <w:p w14:paraId="3A3AE4D7" w14:textId="77777777" w:rsidR="00ED14E0" w:rsidRDefault="00000000">
            <w:pPr>
              <w:spacing w:line="240" w:lineRule="auto"/>
              <w:jc w:val="center"/>
              <w:rPr>
                <w:b/>
                <w:color w:val="FFFFFF"/>
              </w:rPr>
            </w:pPr>
            <w:r>
              <w:rPr>
                <w:color w:val="FFFFFF"/>
              </w:rPr>
              <w:t>FTS students will</w:t>
            </w:r>
            <w:r>
              <w:rPr>
                <w:b/>
                <w:color w:val="FFFFFF"/>
              </w:rPr>
              <w:t xml:space="preserve"> make and support claims when writing and speaking.</w:t>
            </w:r>
          </w:p>
        </w:tc>
      </w:tr>
      <w:tr w:rsidR="00ED14E0" w14:paraId="66897078" w14:textId="77777777">
        <w:trPr>
          <w:trHeight w:val="800"/>
        </w:trPr>
        <w:tc>
          <w:tcPr>
            <w:tcW w:w="14325" w:type="dxa"/>
            <w:gridSpan w:val="7"/>
            <w:vMerge/>
            <w:shd w:val="clear" w:color="auto" w:fill="134F5C"/>
            <w:tcMar>
              <w:top w:w="100" w:type="dxa"/>
              <w:left w:w="100" w:type="dxa"/>
              <w:bottom w:w="100" w:type="dxa"/>
              <w:right w:w="100" w:type="dxa"/>
            </w:tcMar>
            <w:vAlign w:val="center"/>
          </w:tcPr>
          <w:p w14:paraId="77BE9C91" w14:textId="77777777" w:rsidR="00ED14E0" w:rsidRDefault="00ED14E0">
            <w:pPr>
              <w:spacing w:line="240" w:lineRule="auto"/>
              <w:rPr>
                <w:b/>
              </w:rPr>
            </w:pPr>
          </w:p>
        </w:tc>
      </w:tr>
      <w:tr w:rsidR="00ED14E0" w14:paraId="21C553F4" w14:textId="77777777">
        <w:tc>
          <w:tcPr>
            <w:tcW w:w="1545" w:type="dxa"/>
            <w:shd w:val="clear" w:color="auto" w:fill="D0E0E3"/>
            <w:tcMar>
              <w:top w:w="100" w:type="dxa"/>
              <w:left w:w="100" w:type="dxa"/>
              <w:bottom w:w="100" w:type="dxa"/>
              <w:right w:w="100" w:type="dxa"/>
            </w:tcMar>
          </w:tcPr>
          <w:p w14:paraId="41AC9551" w14:textId="77777777" w:rsidR="00ED14E0" w:rsidRDefault="00000000">
            <w:pPr>
              <w:spacing w:line="240" w:lineRule="auto"/>
              <w:jc w:val="right"/>
              <w:rPr>
                <w:i/>
              </w:rPr>
            </w:pPr>
            <w:r>
              <w:rPr>
                <w:b/>
              </w:rPr>
              <w:t xml:space="preserve">Context of and Purpose for </w:t>
            </w:r>
            <w:r>
              <w:rPr>
                <w:b/>
              </w:rPr>
              <w:br/>
              <w:t>Writing or Speaking</w:t>
            </w:r>
            <w:r>
              <w:rPr>
                <w:vertAlign w:val="superscript"/>
              </w:rPr>
              <w:footnoteReference w:id="9"/>
            </w:r>
            <w:r>
              <w:rPr>
                <w:vertAlign w:val="superscript"/>
              </w:rPr>
              <w:t xml:space="preserve">, </w:t>
            </w:r>
            <w:r>
              <w:rPr>
                <w:vertAlign w:val="superscript"/>
              </w:rPr>
              <w:footnoteReference w:id="10"/>
            </w:r>
          </w:p>
        </w:tc>
        <w:tc>
          <w:tcPr>
            <w:tcW w:w="1230" w:type="dxa"/>
            <w:shd w:val="clear" w:color="auto" w:fill="D0E0E3"/>
            <w:tcMar>
              <w:top w:w="100" w:type="dxa"/>
              <w:left w:w="100" w:type="dxa"/>
              <w:bottom w:w="100" w:type="dxa"/>
              <w:right w:w="100" w:type="dxa"/>
            </w:tcMar>
          </w:tcPr>
          <w:p w14:paraId="14E92995" w14:textId="77777777" w:rsidR="00ED14E0" w:rsidRDefault="00ED14E0">
            <w:pPr>
              <w:widowControl w:val="0"/>
              <w:pBdr>
                <w:top w:val="nil"/>
                <w:left w:val="nil"/>
                <w:bottom w:val="nil"/>
                <w:right w:val="nil"/>
                <w:between w:val="nil"/>
              </w:pBdr>
              <w:spacing w:line="240" w:lineRule="auto"/>
            </w:pPr>
          </w:p>
        </w:tc>
        <w:tc>
          <w:tcPr>
            <w:tcW w:w="2625" w:type="dxa"/>
            <w:shd w:val="clear" w:color="auto" w:fill="D0E0E3"/>
            <w:tcMar>
              <w:top w:w="100" w:type="dxa"/>
              <w:left w:w="100" w:type="dxa"/>
              <w:bottom w:w="100" w:type="dxa"/>
              <w:right w:w="100" w:type="dxa"/>
            </w:tcMar>
          </w:tcPr>
          <w:p w14:paraId="4FECF4D9" w14:textId="77777777" w:rsidR="00ED14E0" w:rsidRDefault="00000000">
            <w:pPr>
              <w:widowControl w:val="0"/>
              <w:pBdr>
                <w:top w:val="nil"/>
                <w:left w:val="nil"/>
                <w:bottom w:val="nil"/>
                <w:right w:val="nil"/>
                <w:between w:val="nil"/>
              </w:pBdr>
              <w:spacing w:line="240" w:lineRule="auto"/>
            </w:pPr>
            <w:r>
              <w:t>Demonstrates minimal attention to purpose, audience, context, and the assigned tasks(s) (e.g., expectation of instructor or self as audience).</w:t>
            </w:r>
          </w:p>
        </w:tc>
        <w:tc>
          <w:tcPr>
            <w:tcW w:w="2625" w:type="dxa"/>
            <w:shd w:val="clear" w:color="auto" w:fill="D0E0E3"/>
            <w:tcMar>
              <w:top w:w="100" w:type="dxa"/>
              <w:left w:w="100" w:type="dxa"/>
              <w:bottom w:w="100" w:type="dxa"/>
              <w:right w:w="100" w:type="dxa"/>
            </w:tcMar>
          </w:tcPr>
          <w:p w14:paraId="5079F9C1" w14:textId="77777777" w:rsidR="00ED14E0" w:rsidRDefault="00000000">
            <w:pPr>
              <w:widowControl w:val="0"/>
              <w:pBdr>
                <w:top w:val="nil"/>
                <w:left w:val="nil"/>
                <w:bottom w:val="nil"/>
                <w:right w:val="nil"/>
                <w:between w:val="nil"/>
              </w:pBdr>
              <w:spacing w:line="240" w:lineRule="auto"/>
            </w:pPr>
            <w:r>
              <w:t>Demonstrates awareness of purpose, audience, context, and the assigned tasks(s) (e.g., begins to show awareness of audience's perceptions and assumptions).</w:t>
            </w:r>
          </w:p>
        </w:tc>
        <w:tc>
          <w:tcPr>
            <w:tcW w:w="2625" w:type="dxa"/>
            <w:shd w:val="clear" w:color="auto" w:fill="D0E0E3"/>
            <w:tcMar>
              <w:top w:w="100" w:type="dxa"/>
              <w:left w:w="100" w:type="dxa"/>
              <w:bottom w:w="100" w:type="dxa"/>
              <w:right w:w="100" w:type="dxa"/>
            </w:tcMar>
          </w:tcPr>
          <w:p w14:paraId="726F418B" w14:textId="77777777" w:rsidR="00ED14E0" w:rsidRDefault="00000000">
            <w:pPr>
              <w:widowControl w:val="0"/>
              <w:pBdr>
                <w:top w:val="nil"/>
                <w:left w:val="nil"/>
                <w:bottom w:val="nil"/>
                <w:right w:val="nil"/>
                <w:between w:val="nil"/>
              </w:pBdr>
              <w:spacing w:line="240" w:lineRule="auto"/>
            </w:pPr>
            <w:r>
              <w:t xml:space="preserve">Demonstrates adequate consideration of purpose, audience, and context, and a clear focus on the assigned task(s) (e.g., the task aligns with audience, purpose, and context). </w:t>
            </w:r>
          </w:p>
        </w:tc>
        <w:tc>
          <w:tcPr>
            <w:tcW w:w="2625" w:type="dxa"/>
            <w:shd w:val="clear" w:color="auto" w:fill="D0E0E3"/>
            <w:tcMar>
              <w:top w:w="100" w:type="dxa"/>
              <w:left w:w="100" w:type="dxa"/>
              <w:bottom w:w="100" w:type="dxa"/>
              <w:right w:w="100" w:type="dxa"/>
            </w:tcMar>
          </w:tcPr>
          <w:p w14:paraId="313268EF" w14:textId="77777777" w:rsidR="00ED14E0" w:rsidRDefault="00000000">
            <w:pPr>
              <w:widowControl w:val="0"/>
              <w:pBdr>
                <w:top w:val="nil"/>
                <w:left w:val="nil"/>
                <w:bottom w:val="nil"/>
                <w:right w:val="nil"/>
                <w:between w:val="nil"/>
              </w:pBdr>
              <w:spacing w:line="240" w:lineRule="auto"/>
            </w:pPr>
            <w:r>
              <w:t>Demonstrates a thorough understanding of purpose, audience, and context that is responsive to the assigned task(s) and focuses all elements of the work.</w:t>
            </w:r>
          </w:p>
        </w:tc>
        <w:tc>
          <w:tcPr>
            <w:tcW w:w="1050" w:type="dxa"/>
            <w:shd w:val="clear" w:color="auto" w:fill="D0E0E3"/>
            <w:tcMar>
              <w:top w:w="100" w:type="dxa"/>
              <w:left w:w="100" w:type="dxa"/>
              <w:bottom w:w="100" w:type="dxa"/>
              <w:right w:w="100" w:type="dxa"/>
            </w:tcMar>
          </w:tcPr>
          <w:p w14:paraId="75F060FA" w14:textId="77777777" w:rsidR="00ED14E0" w:rsidRDefault="00ED14E0">
            <w:pPr>
              <w:widowControl w:val="0"/>
              <w:pBdr>
                <w:top w:val="nil"/>
                <w:left w:val="nil"/>
                <w:bottom w:val="nil"/>
                <w:right w:val="nil"/>
                <w:between w:val="nil"/>
              </w:pBdr>
              <w:spacing w:line="240" w:lineRule="auto"/>
            </w:pPr>
          </w:p>
        </w:tc>
      </w:tr>
      <w:tr w:rsidR="00ED14E0" w14:paraId="1514FE8B" w14:textId="77777777">
        <w:tc>
          <w:tcPr>
            <w:tcW w:w="1545" w:type="dxa"/>
            <w:shd w:val="clear" w:color="auto" w:fill="A2C4C9"/>
            <w:tcMar>
              <w:top w:w="100" w:type="dxa"/>
              <w:left w:w="100" w:type="dxa"/>
              <w:bottom w:w="100" w:type="dxa"/>
              <w:right w:w="100" w:type="dxa"/>
            </w:tcMar>
          </w:tcPr>
          <w:p w14:paraId="2A32784E" w14:textId="77777777" w:rsidR="00ED14E0" w:rsidRDefault="00000000">
            <w:pPr>
              <w:spacing w:line="240" w:lineRule="auto"/>
              <w:jc w:val="right"/>
            </w:pPr>
            <w:r>
              <w:rPr>
                <w:b/>
              </w:rPr>
              <w:t>Use Information Effectively to Accomplish a Specific Purpose</w:t>
            </w:r>
            <w:r>
              <w:rPr>
                <w:vertAlign w:val="superscript"/>
              </w:rPr>
              <w:footnoteReference w:id="11"/>
            </w:r>
          </w:p>
        </w:tc>
        <w:tc>
          <w:tcPr>
            <w:tcW w:w="1230" w:type="dxa"/>
            <w:shd w:val="clear" w:color="auto" w:fill="A2C4C9"/>
            <w:tcMar>
              <w:top w:w="100" w:type="dxa"/>
              <w:left w:w="100" w:type="dxa"/>
              <w:bottom w:w="100" w:type="dxa"/>
              <w:right w:w="100" w:type="dxa"/>
            </w:tcMar>
          </w:tcPr>
          <w:p w14:paraId="6D3E18CE" w14:textId="77777777" w:rsidR="00ED14E0" w:rsidRDefault="00ED14E0">
            <w:pPr>
              <w:widowControl w:val="0"/>
              <w:spacing w:line="240" w:lineRule="auto"/>
            </w:pPr>
          </w:p>
        </w:tc>
        <w:tc>
          <w:tcPr>
            <w:tcW w:w="2625" w:type="dxa"/>
            <w:shd w:val="clear" w:color="auto" w:fill="A2C4C9"/>
            <w:tcMar>
              <w:top w:w="100" w:type="dxa"/>
              <w:left w:w="100" w:type="dxa"/>
              <w:bottom w:w="100" w:type="dxa"/>
              <w:right w:w="100" w:type="dxa"/>
            </w:tcMar>
          </w:tcPr>
          <w:p w14:paraId="024A9A30" w14:textId="77777777" w:rsidR="00ED14E0" w:rsidRDefault="00000000">
            <w:pPr>
              <w:widowControl w:val="0"/>
              <w:spacing w:line="240" w:lineRule="auto"/>
            </w:pPr>
            <w:r>
              <w:t xml:space="preserve">Communicates information from sources. The information is fragmented and/or used inappropriately (misquoted, taken out of context, incorrectly paraphrased, etc.), </w:t>
            </w:r>
            <w:r>
              <w:lastRenderedPageBreak/>
              <w:t>so the intended purpose is not achieved.</w:t>
            </w:r>
          </w:p>
        </w:tc>
        <w:tc>
          <w:tcPr>
            <w:tcW w:w="2625" w:type="dxa"/>
            <w:shd w:val="clear" w:color="auto" w:fill="A2C4C9"/>
            <w:tcMar>
              <w:top w:w="100" w:type="dxa"/>
              <w:left w:w="100" w:type="dxa"/>
              <w:bottom w:w="100" w:type="dxa"/>
              <w:right w:w="100" w:type="dxa"/>
            </w:tcMar>
          </w:tcPr>
          <w:p w14:paraId="0309E6F4" w14:textId="77777777" w:rsidR="00ED14E0" w:rsidRDefault="00000000">
            <w:pPr>
              <w:widowControl w:val="0"/>
              <w:spacing w:line="240" w:lineRule="auto"/>
            </w:pPr>
            <w:r>
              <w:lastRenderedPageBreak/>
              <w:t>Communicates and organizes information from sources. The information is not yet synthesized, so the intended purpose is not fully achieved.</w:t>
            </w:r>
          </w:p>
        </w:tc>
        <w:tc>
          <w:tcPr>
            <w:tcW w:w="2625" w:type="dxa"/>
            <w:shd w:val="clear" w:color="auto" w:fill="A2C4C9"/>
            <w:tcMar>
              <w:top w:w="100" w:type="dxa"/>
              <w:left w:w="100" w:type="dxa"/>
              <w:bottom w:w="100" w:type="dxa"/>
              <w:right w:w="100" w:type="dxa"/>
            </w:tcMar>
          </w:tcPr>
          <w:p w14:paraId="2DEDC502" w14:textId="77777777" w:rsidR="00ED14E0" w:rsidRDefault="00000000">
            <w:pPr>
              <w:widowControl w:val="0"/>
              <w:spacing w:line="240" w:lineRule="auto"/>
            </w:pPr>
            <w:r>
              <w:t>Communicates, organizes, and synthesizes information from sources. Intended purpose is achieved.</w:t>
            </w:r>
          </w:p>
        </w:tc>
        <w:tc>
          <w:tcPr>
            <w:tcW w:w="2625" w:type="dxa"/>
            <w:shd w:val="clear" w:color="auto" w:fill="A2C4C9"/>
            <w:tcMar>
              <w:top w:w="100" w:type="dxa"/>
              <w:left w:w="100" w:type="dxa"/>
              <w:bottom w:w="100" w:type="dxa"/>
              <w:right w:w="100" w:type="dxa"/>
            </w:tcMar>
          </w:tcPr>
          <w:p w14:paraId="15ABA834" w14:textId="77777777" w:rsidR="00ED14E0" w:rsidRDefault="00000000">
            <w:pPr>
              <w:widowControl w:val="0"/>
              <w:spacing w:line="240" w:lineRule="auto"/>
            </w:pPr>
            <w:r>
              <w:t xml:space="preserve">Communicates, </w:t>
            </w:r>
            <w:proofErr w:type="gramStart"/>
            <w:r>
              <w:t>organizes</w:t>
            </w:r>
            <w:proofErr w:type="gramEnd"/>
            <w:r>
              <w:t xml:space="preserve"> and synthesizes information from sources to fully achieve a specific purpose, with clarity and depth.</w:t>
            </w:r>
          </w:p>
        </w:tc>
        <w:tc>
          <w:tcPr>
            <w:tcW w:w="1050" w:type="dxa"/>
            <w:shd w:val="clear" w:color="auto" w:fill="A2C4C9"/>
            <w:tcMar>
              <w:top w:w="100" w:type="dxa"/>
              <w:left w:w="100" w:type="dxa"/>
              <w:bottom w:w="100" w:type="dxa"/>
              <w:right w:w="100" w:type="dxa"/>
            </w:tcMar>
          </w:tcPr>
          <w:p w14:paraId="756093DA" w14:textId="77777777" w:rsidR="00ED14E0" w:rsidRDefault="00ED14E0">
            <w:pPr>
              <w:widowControl w:val="0"/>
              <w:spacing w:line="240" w:lineRule="auto"/>
            </w:pPr>
          </w:p>
        </w:tc>
      </w:tr>
      <w:tr w:rsidR="00ED14E0" w14:paraId="09C10E3F" w14:textId="77777777">
        <w:tc>
          <w:tcPr>
            <w:tcW w:w="1545" w:type="dxa"/>
            <w:shd w:val="clear" w:color="auto" w:fill="D0E0E3"/>
            <w:tcMar>
              <w:top w:w="100" w:type="dxa"/>
              <w:left w:w="100" w:type="dxa"/>
              <w:bottom w:w="100" w:type="dxa"/>
              <w:right w:w="100" w:type="dxa"/>
            </w:tcMar>
          </w:tcPr>
          <w:p w14:paraId="6175E725" w14:textId="77777777" w:rsidR="00ED14E0" w:rsidRDefault="00000000">
            <w:pPr>
              <w:widowControl w:val="0"/>
              <w:spacing w:line="240" w:lineRule="auto"/>
              <w:jc w:val="right"/>
            </w:pPr>
            <w:r>
              <w:rPr>
                <w:b/>
              </w:rPr>
              <w:t>Student's position (perspective, claim)</w:t>
            </w:r>
            <w:r>
              <w:rPr>
                <w:vertAlign w:val="superscript"/>
              </w:rPr>
              <w:t>10</w:t>
            </w:r>
          </w:p>
        </w:tc>
        <w:tc>
          <w:tcPr>
            <w:tcW w:w="1230" w:type="dxa"/>
            <w:shd w:val="clear" w:color="auto" w:fill="D0E0E3"/>
            <w:tcMar>
              <w:top w:w="100" w:type="dxa"/>
              <w:left w:w="100" w:type="dxa"/>
              <w:bottom w:w="100" w:type="dxa"/>
              <w:right w:w="100" w:type="dxa"/>
            </w:tcMar>
          </w:tcPr>
          <w:p w14:paraId="03316FAE" w14:textId="77777777" w:rsidR="00ED14E0" w:rsidRDefault="00ED14E0">
            <w:pPr>
              <w:widowControl w:val="0"/>
              <w:spacing w:line="240" w:lineRule="auto"/>
            </w:pPr>
          </w:p>
        </w:tc>
        <w:tc>
          <w:tcPr>
            <w:tcW w:w="2625" w:type="dxa"/>
            <w:shd w:val="clear" w:color="auto" w:fill="D0E0E3"/>
            <w:tcMar>
              <w:top w:w="100" w:type="dxa"/>
              <w:left w:w="100" w:type="dxa"/>
              <w:bottom w:w="100" w:type="dxa"/>
              <w:right w:w="100" w:type="dxa"/>
            </w:tcMar>
          </w:tcPr>
          <w:p w14:paraId="1A9615A5" w14:textId="77777777" w:rsidR="00ED14E0" w:rsidRDefault="00000000">
            <w:pPr>
              <w:widowControl w:val="0"/>
              <w:spacing w:line="240" w:lineRule="auto"/>
            </w:pPr>
            <w:r>
              <w:t xml:space="preserve">Specific position is </w:t>
            </w:r>
            <w:proofErr w:type="gramStart"/>
            <w:r>
              <w:t>stated, but</w:t>
            </w:r>
            <w:proofErr w:type="gramEnd"/>
            <w:r>
              <w:t xml:space="preserve"> is simplistic and obvious.</w:t>
            </w:r>
          </w:p>
        </w:tc>
        <w:tc>
          <w:tcPr>
            <w:tcW w:w="2625" w:type="dxa"/>
            <w:shd w:val="clear" w:color="auto" w:fill="D0E0E3"/>
            <w:tcMar>
              <w:top w:w="100" w:type="dxa"/>
              <w:left w:w="100" w:type="dxa"/>
              <w:bottom w:w="100" w:type="dxa"/>
              <w:right w:w="100" w:type="dxa"/>
            </w:tcMar>
          </w:tcPr>
          <w:p w14:paraId="0AC90D99" w14:textId="77777777" w:rsidR="00ED14E0" w:rsidRDefault="00000000">
            <w:pPr>
              <w:widowControl w:val="0"/>
              <w:spacing w:line="240" w:lineRule="auto"/>
            </w:pPr>
            <w:r>
              <w:t>Specific position acknowledges different sides of an issue.</w:t>
            </w:r>
          </w:p>
        </w:tc>
        <w:tc>
          <w:tcPr>
            <w:tcW w:w="2625" w:type="dxa"/>
            <w:shd w:val="clear" w:color="auto" w:fill="D0E0E3"/>
            <w:tcMar>
              <w:top w:w="100" w:type="dxa"/>
              <w:left w:w="100" w:type="dxa"/>
              <w:bottom w:w="100" w:type="dxa"/>
              <w:right w:w="100" w:type="dxa"/>
            </w:tcMar>
          </w:tcPr>
          <w:p w14:paraId="5E1B68F8" w14:textId="77777777" w:rsidR="00ED14E0" w:rsidRDefault="00000000">
            <w:pPr>
              <w:widowControl w:val="0"/>
              <w:spacing w:line="240" w:lineRule="auto"/>
            </w:pPr>
            <w:r>
              <w:t xml:space="preserve">Specific position </w:t>
            </w:r>
            <w:proofErr w:type="gramStart"/>
            <w:r>
              <w:t>takes into account</w:t>
            </w:r>
            <w:proofErr w:type="gramEnd"/>
            <w:r>
              <w:t xml:space="preserve"> the complexities of an issue. Others' points of view are acknowledged within position.</w:t>
            </w:r>
          </w:p>
        </w:tc>
        <w:tc>
          <w:tcPr>
            <w:tcW w:w="2625" w:type="dxa"/>
            <w:shd w:val="clear" w:color="auto" w:fill="D0E0E3"/>
            <w:tcMar>
              <w:top w:w="100" w:type="dxa"/>
              <w:left w:w="100" w:type="dxa"/>
              <w:bottom w:w="100" w:type="dxa"/>
              <w:right w:w="100" w:type="dxa"/>
            </w:tcMar>
          </w:tcPr>
          <w:p w14:paraId="5C96C962" w14:textId="77777777" w:rsidR="00ED14E0" w:rsidRDefault="00000000">
            <w:pPr>
              <w:widowControl w:val="0"/>
              <w:spacing w:line="240" w:lineRule="auto"/>
            </w:pPr>
            <w:r>
              <w:t xml:space="preserve">Specific position is imaginative, </w:t>
            </w:r>
            <w:proofErr w:type="gramStart"/>
            <w:r>
              <w:t>taking into account</w:t>
            </w:r>
            <w:proofErr w:type="gramEnd"/>
            <w:r>
              <w:t xml:space="preserve"> the complexities of an issue. Limits of position are acknowledged. Others' points of view are synthesized within position.</w:t>
            </w:r>
          </w:p>
        </w:tc>
        <w:tc>
          <w:tcPr>
            <w:tcW w:w="1050" w:type="dxa"/>
            <w:shd w:val="clear" w:color="auto" w:fill="D0E0E3"/>
            <w:tcMar>
              <w:top w:w="100" w:type="dxa"/>
              <w:left w:w="100" w:type="dxa"/>
              <w:bottom w:w="100" w:type="dxa"/>
              <w:right w:w="100" w:type="dxa"/>
            </w:tcMar>
          </w:tcPr>
          <w:p w14:paraId="1FB8A5E5" w14:textId="77777777" w:rsidR="00ED14E0" w:rsidRDefault="00ED14E0">
            <w:pPr>
              <w:widowControl w:val="0"/>
              <w:spacing w:line="240" w:lineRule="auto"/>
            </w:pPr>
          </w:p>
        </w:tc>
      </w:tr>
      <w:tr w:rsidR="00ED14E0" w14:paraId="1C3C4401" w14:textId="77777777">
        <w:tc>
          <w:tcPr>
            <w:tcW w:w="1545" w:type="dxa"/>
            <w:shd w:val="clear" w:color="auto" w:fill="A2C4C9"/>
            <w:tcMar>
              <w:top w:w="100" w:type="dxa"/>
              <w:left w:w="100" w:type="dxa"/>
              <w:bottom w:w="100" w:type="dxa"/>
              <w:right w:w="100" w:type="dxa"/>
            </w:tcMar>
          </w:tcPr>
          <w:p w14:paraId="4E4C4860" w14:textId="77777777" w:rsidR="00ED14E0" w:rsidRDefault="00000000">
            <w:pPr>
              <w:spacing w:line="240" w:lineRule="auto"/>
              <w:jc w:val="right"/>
              <w:rPr>
                <w:vertAlign w:val="superscript"/>
              </w:rPr>
            </w:pPr>
            <w:r>
              <w:rPr>
                <w:b/>
              </w:rPr>
              <w:t>Supporting Evidence</w:t>
            </w:r>
            <w:r>
              <w:rPr>
                <w:vertAlign w:val="superscript"/>
              </w:rPr>
              <w:t>12</w:t>
            </w:r>
          </w:p>
        </w:tc>
        <w:tc>
          <w:tcPr>
            <w:tcW w:w="1230" w:type="dxa"/>
            <w:shd w:val="clear" w:color="auto" w:fill="A2C4C9"/>
            <w:tcMar>
              <w:top w:w="100" w:type="dxa"/>
              <w:left w:w="100" w:type="dxa"/>
              <w:bottom w:w="100" w:type="dxa"/>
              <w:right w:w="100" w:type="dxa"/>
            </w:tcMar>
          </w:tcPr>
          <w:p w14:paraId="5F815B45" w14:textId="77777777" w:rsidR="00ED14E0" w:rsidRDefault="00ED14E0">
            <w:pPr>
              <w:widowControl w:val="0"/>
              <w:spacing w:line="240" w:lineRule="auto"/>
            </w:pPr>
          </w:p>
        </w:tc>
        <w:tc>
          <w:tcPr>
            <w:tcW w:w="2625" w:type="dxa"/>
            <w:shd w:val="clear" w:color="auto" w:fill="A2C4C9"/>
            <w:tcMar>
              <w:top w:w="100" w:type="dxa"/>
              <w:left w:w="100" w:type="dxa"/>
              <w:bottom w:w="100" w:type="dxa"/>
              <w:right w:w="100" w:type="dxa"/>
            </w:tcMar>
          </w:tcPr>
          <w:p w14:paraId="00976274" w14:textId="77777777" w:rsidR="00ED14E0" w:rsidRDefault="00000000">
            <w:pPr>
              <w:widowControl w:val="0"/>
              <w:spacing w:line="240" w:lineRule="auto"/>
            </w:pPr>
            <w:r>
              <w:t xml:space="preserve">Demonstrates an attempt to use appropriate, relevant evidence to support ideas and/or claims in some of the writing. </w:t>
            </w:r>
          </w:p>
        </w:tc>
        <w:tc>
          <w:tcPr>
            <w:tcW w:w="2625" w:type="dxa"/>
            <w:shd w:val="clear" w:color="auto" w:fill="A2C4C9"/>
            <w:tcMar>
              <w:top w:w="100" w:type="dxa"/>
              <w:left w:w="100" w:type="dxa"/>
              <w:bottom w:w="100" w:type="dxa"/>
              <w:right w:w="100" w:type="dxa"/>
            </w:tcMar>
          </w:tcPr>
          <w:p w14:paraId="4AA89D55" w14:textId="77777777" w:rsidR="00ED14E0" w:rsidRDefault="00000000">
            <w:pPr>
              <w:widowControl w:val="0"/>
              <w:spacing w:line="240" w:lineRule="auto"/>
            </w:pPr>
            <w:r>
              <w:t>Demonstrates an attempt to use appropriate, relevant evidence to support ideas and/or claims through most of the writing.</w:t>
            </w:r>
          </w:p>
        </w:tc>
        <w:tc>
          <w:tcPr>
            <w:tcW w:w="2625" w:type="dxa"/>
            <w:shd w:val="clear" w:color="auto" w:fill="A2C4C9"/>
            <w:tcMar>
              <w:top w:w="100" w:type="dxa"/>
              <w:left w:w="100" w:type="dxa"/>
              <w:bottom w:w="100" w:type="dxa"/>
              <w:right w:w="100" w:type="dxa"/>
            </w:tcMar>
          </w:tcPr>
          <w:p w14:paraId="41A8B1A1" w14:textId="77777777" w:rsidR="00ED14E0" w:rsidRDefault="00000000">
            <w:pPr>
              <w:widowControl w:val="0"/>
              <w:spacing w:line="240" w:lineRule="auto"/>
            </w:pPr>
            <w:r>
              <w:t>Demonstrates consistent use of appropriate, relevant evidence to support ideas and/or claims and shape the whole work.</w:t>
            </w:r>
          </w:p>
        </w:tc>
        <w:tc>
          <w:tcPr>
            <w:tcW w:w="2625" w:type="dxa"/>
            <w:shd w:val="clear" w:color="auto" w:fill="A2C4C9"/>
            <w:tcMar>
              <w:top w:w="100" w:type="dxa"/>
              <w:left w:w="100" w:type="dxa"/>
              <w:bottom w:w="100" w:type="dxa"/>
              <w:right w:w="100" w:type="dxa"/>
            </w:tcMar>
          </w:tcPr>
          <w:p w14:paraId="7FB33411" w14:textId="77777777" w:rsidR="00ED14E0" w:rsidRDefault="00000000">
            <w:pPr>
              <w:widowControl w:val="0"/>
              <w:spacing w:line="240" w:lineRule="auto"/>
            </w:pPr>
            <w:r>
              <w:t>Demonstrates skillful use of appropriate, relevant evidence to develop ideas and/or claims and shape the whole work.</w:t>
            </w:r>
          </w:p>
        </w:tc>
        <w:tc>
          <w:tcPr>
            <w:tcW w:w="1050" w:type="dxa"/>
            <w:shd w:val="clear" w:color="auto" w:fill="A2C4C9"/>
            <w:tcMar>
              <w:top w:w="100" w:type="dxa"/>
              <w:left w:w="100" w:type="dxa"/>
              <w:bottom w:w="100" w:type="dxa"/>
              <w:right w:w="100" w:type="dxa"/>
            </w:tcMar>
          </w:tcPr>
          <w:p w14:paraId="18E1746D" w14:textId="77777777" w:rsidR="00ED14E0" w:rsidRDefault="00ED14E0">
            <w:pPr>
              <w:widowControl w:val="0"/>
              <w:spacing w:line="240" w:lineRule="auto"/>
            </w:pPr>
          </w:p>
        </w:tc>
      </w:tr>
      <w:tr w:rsidR="00ED14E0" w14:paraId="6271D304" w14:textId="77777777">
        <w:trPr>
          <w:trHeight w:val="840"/>
        </w:trPr>
        <w:tc>
          <w:tcPr>
            <w:tcW w:w="14325" w:type="dxa"/>
            <w:gridSpan w:val="7"/>
            <w:tcBorders>
              <w:top w:val="single" w:sz="18" w:space="0" w:color="000000"/>
            </w:tcBorders>
            <w:shd w:val="clear" w:color="auto" w:fill="351C75"/>
            <w:tcMar>
              <w:top w:w="100" w:type="dxa"/>
              <w:left w:w="100" w:type="dxa"/>
              <w:bottom w:w="100" w:type="dxa"/>
              <w:right w:w="100" w:type="dxa"/>
            </w:tcMar>
            <w:vAlign w:val="center"/>
          </w:tcPr>
          <w:p w14:paraId="4F099C00" w14:textId="77777777" w:rsidR="00ED14E0" w:rsidRDefault="00000000">
            <w:pPr>
              <w:pStyle w:val="Heading3"/>
            </w:pPr>
            <w:bookmarkStart w:id="4" w:name="_5t1ju09nrny2" w:colFirst="0" w:colLast="0"/>
            <w:bookmarkEnd w:id="4"/>
            <w:r>
              <w:t>Advising Student Learning Outcome</w:t>
            </w:r>
          </w:p>
          <w:p w14:paraId="3EB28A56" w14:textId="77777777" w:rsidR="00ED14E0" w:rsidRDefault="00000000">
            <w:pPr>
              <w:spacing w:line="240" w:lineRule="auto"/>
              <w:jc w:val="center"/>
              <w:rPr>
                <w:b/>
                <w:color w:val="FFFFFF"/>
              </w:rPr>
            </w:pPr>
            <w:r>
              <w:rPr>
                <w:color w:val="FFFFFF"/>
              </w:rPr>
              <w:t xml:space="preserve">FTS students will </w:t>
            </w:r>
            <w:r>
              <w:rPr>
                <w:b/>
                <w:color w:val="FFFFFF"/>
              </w:rPr>
              <w:t>demonstrate familiarity with the College curriculum and campus resources related to advising (Advising SLO)</w:t>
            </w:r>
          </w:p>
        </w:tc>
      </w:tr>
      <w:tr w:rsidR="00ED14E0" w14:paraId="6ED9D020" w14:textId="77777777">
        <w:tc>
          <w:tcPr>
            <w:tcW w:w="1545" w:type="dxa"/>
            <w:shd w:val="clear" w:color="auto" w:fill="D9D2E9"/>
            <w:tcMar>
              <w:top w:w="100" w:type="dxa"/>
              <w:left w:w="100" w:type="dxa"/>
              <w:bottom w:w="100" w:type="dxa"/>
              <w:right w:w="100" w:type="dxa"/>
            </w:tcMar>
          </w:tcPr>
          <w:p w14:paraId="43B92F1F" w14:textId="77777777" w:rsidR="00ED14E0" w:rsidRDefault="00000000">
            <w:pPr>
              <w:widowControl w:val="0"/>
              <w:pBdr>
                <w:top w:val="nil"/>
                <w:left w:val="nil"/>
                <w:bottom w:val="nil"/>
                <w:right w:val="nil"/>
                <w:between w:val="nil"/>
              </w:pBdr>
              <w:spacing w:line="240" w:lineRule="auto"/>
              <w:jc w:val="right"/>
            </w:pPr>
            <w:proofErr w:type="gramStart"/>
            <w:r>
              <w:rPr>
                <w:b/>
              </w:rPr>
              <w:t>Student  Independence</w:t>
            </w:r>
            <w:proofErr w:type="gramEnd"/>
            <w:r>
              <w:rPr>
                <w:vertAlign w:val="superscript"/>
              </w:rPr>
              <w:footnoteReference w:id="12"/>
            </w:r>
          </w:p>
        </w:tc>
        <w:tc>
          <w:tcPr>
            <w:tcW w:w="1230" w:type="dxa"/>
            <w:shd w:val="clear" w:color="auto" w:fill="D9D2E9"/>
            <w:tcMar>
              <w:top w:w="100" w:type="dxa"/>
              <w:left w:w="100" w:type="dxa"/>
              <w:bottom w:w="100" w:type="dxa"/>
              <w:right w:w="100" w:type="dxa"/>
            </w:tcMar>
          </w:tcPr>
          <w:p w14:paraId="32519CF7" w14:textId="77777777" w:rsidR="00ED14E0" w:rsidRDefault="00ED14E0">
            <w:pPr>
              <w:widowControl w:val="0"/>
              <w:pBdr>
                <w:top w:val="nil"/>
                <w:left w:val="nil"/>
                <w:bottom w:val="nil"/>
                <w:right w:val="nil"/>
                <w:between w:val="nil"/>
              </w:pBdr>
              <w:spacing w:line="240" w:lineRule="auto"/>
            </w:pPr>
          </w:p>
        </w:tc>
        <w:tc>
          <w:tcPr>
            <w:tcW w:w="2625" w:type="dxa"/>
            <w:shd w:val="clear" w:color="auto" w:fill="D9D2E9"/>
            <w:tcMar>
              <w:top w:w="100" w:type="dxa"/>
              <w:left w:w="100" w:type="dxa"/>
              <w:bottom w:w="100" w:type="dxa"/>
              <w:right w:w="100" w:type="dxa"/>
            </w:tcMar>
          </w:tcPr>
          <w:p w14:paraId="7FFF8E5C" w14:textId="77777777" w:rsidR="00ED14E0" w:rsidRDefault="00000000">
            <w:pPr>
              <w:widowControl w:val="0"/>
              <w:spacing w:line="240" w:lineRule="auto"/>
            </w:pPr>
            <w:r>
              <w:t xml:space="preserve">Begins to look beyond classroom and/or advisor requirements, showing interest in pursuing resources/information independently. </w:t>
            </w:r>
          </w:p>
        </w:tc>
        <w:tc>
          <w:tcPr>
            <w:tcW w:w="2625" w:type="dxa"/>
            <w:shd w:val="clear" w:color="auto" w:fill="D9D2E9"/>
            <w:tcMar>
              <w:top w:w="100" w:type="dxa"/>
              <w:left w:w="100" w:type="dxa"/>
              <w:bottom w:w="100" w:type="dxa"/>
              <w:right w:w="100" w:type="dxa"/>
            </w:tcMar>
          </w:tcPr>
          <w:p w14:paraId="0A056F70" w14:textId="77777777" w:rsidR="00ED14E0" w:rsidRDefault="00000000">
            <w:pPr>
              <w:widowControl w:val="0"/>
              <w:spacing w:line="240" w:lineRule="auto"/>
            </w:pPr>
            <w:r>
              <w:t xml:space="preserve">Beyond classroom and/or advisor requirements, pursues recommended resources/information and/or shows interest in pursuing independent educational experiences. </w:t>
            </w:r>
          </w:p>
        </w:tc>
        <w:tc>
          <w:tcPr>
            <w:tcW w:w="2625" w:type="dxa"/>
            <w:shd w:val="clear" w:color="auto" w:fill="D9D2E9"/>
            <w:tcMar>
              <w:top w:w="100" w:type="dxa"/>
              <w:left w:w="100" w:type="dxa"/>
              <w:bottom w:w="100" w:type="dxa"/>
              <w:right w:w="100" w:type="dxa"/>
            </w:tcMar>
          </w:tcPr>
          <w:p w14:paraId="0D90D3AA" w14:textId="77777777" w:rsidR="00ED14E0" w:rsidRDefault="00000000">
            <w:pPr>
              <w:widowControl w:val="0"/>
              <w:spacing w:line="240" w:lineRule="auto"/>
            </w:pPr>
            <w:r>
              <w:t xml:space="preserve">Beyond classroom and/or advisor requirements, pursues additional resources/information and/or actively pursues independent educational experiences. </w:t>
            </w:r>
          </w:p>
        </w:tc>
        <w:tc>
          <w:tcPr>
            <w:tcW w:w="2625" w:type="dxa"/>
            <w:shd w:val="clear" w:color="auto" w:fill="D9D2E9"/>
            <w:tcMar>
              <w:top w:w="100" w:type="dxa"/>
              <w:left w:w="100" w:type="dxa"/>
              <w:bottom w:w="100" w:type="dxa"/>
              <w:right w:w="100" w:type="dxa"/>
            </w:tcMar>
          </w:tcPr>
          <w:p w14:paraId="0814C82D" w14:textId="77777777" w:rsidR="00ED14E0" w:rsidRDefault="00000000">
            <w:pPr>
              <w:widowControl w:val="0"/>
              <w:spacing w:line="240" w:lineRule="auto"/>
            </w:pPr>
            <w:r>
              <w:t>Educational interests and pursuits exist and flourish outside classroom and/or advisor requirements. Resources/information and/or experiences are pursued independently.</w:t>
            </w:r>
          </w:p>
        </w:tc>
        <w:tc>
          <w:tcPr>
            <w:tcW w:w="1050" w:type="dxa"/>
            <w:shd w:val="clear" w:color="auto" w:fill="D9D2E9"/>
            <w:tcMar>
              <w:top w:w="100" w:type="dxa"/>
              <w:left w:w="100" w:type="dxa"/>
              <w:bottom w:w="100" w:type="dxa"/>
              <w:right w:w="100" w:type="dxa"/>
            </w:tcMar>
          </w:tcPr>
          <w:p w14:paraId="2050084B" w14:textId="77777777" w:rsidR="00ED14E0" w:rsidRDefault="00ED14E0">
            <w:pPr>
              <w:widowControl w:val="0"/>
              <w:spacing w:line="240" w:lineRule="auto"/>
            </w:pPr>
          </w:p>
          <w:p w14:paraId="395AE396" w14:textId="77777777" w:rsidR="00ED14E0" w:rsidRDefault="00ED14E0">
            <w:pPr>
              <w:widowControl w:val="0"/>
              <w:pBdr>
                <w:top w:val="nil"/>
                <w:left w:val="nil"/>
                <w:bottom w:val="nil"/>
                <w:right w:val="nil"/>
                <w:between w:val="nil"/>
              </w:pBdr>
              <w:spacing w:line="240" w:lineRule="auto"/>
            </w:pPr>
          </w:p>
        </w:tc>
      </w:tr>
    </w:tbl>
    <w:p w14:paraId="35124546" w14:textId="77777777" w:rsidR="00ED14E0" w:rsidRDefault="00000000">
      <w:pPr>
        <w:jc w:val="center"/>
        <w:rPr>
          <w:b/>
        </w:rPr>
      </w:pPr>
      <w:r>
        <w:rPr>
          <w:b/>
        </w:rPr>
        <w:t>Reference</w:t>
      </w:r>
    </w:p>
    <w:p w14:paraId="18F86CC4" w14:textId="77777777" w:rsidR="00ED14E0" w:rsidRDefault="00000000">
      <w:r>
        <w:t xml:space="preserve">Rhodes, T. (2010). </w:t>
      </w:r>
      <w:r>
        <w:rPr>
          <w:i/>
        </w:rPr>
        <w:t>Assessing outcomes and improving achievement: Tips and tools for using rubrics</w:t>
      </w:r>
      <w:r>
        <w:t>. Washington, DC: Association of American Colleges and Universities.</w:t>
      </w:r>
    </w:p>
    <w:p w14:paraId="0D7168FB" w14:textId="77777777" w:rsidR="00ED14E0" w:rsidRDefault="00ED14E0"/>
    <w:p w14:paraId="52D52D7D" w14:textId="77777777" w:rsidR="00ED14E0" w:rsidRDefault="00000000">
      <w:pPr>
        <w:jc w:val="center"/>
        <w:rPr>
          <w:b/>
        </w:rPr>
      </w:pPr>
      <w:r>
        <w:rPr>
          <w:b/>
        </w:rPr>
        <w:t>Copyright Notice</w:t>
      </w:r>
    </w:p>
    <w:p w14:paraId="573EF91D" w14:textId="77777777" w:rsidR="00ED14E0" w:rsidRDefault="00000000">
      <w:r>
        <w:t>Reprinted with permission from "</w:t>
      </w:r>
      <w:r>
        <w:rPr>
          <w:i/>
        </w:rPr>
        <w:t>VALUE: Valid Assessment of Learning in Undergraduate Education.</w:t>
      </w:r>
      <w:r>
        <w:t xml:space="preserve">"  Copyright 2019 by the Association of American Colleges and Universities. </w:t>
      </w:r>
      <w:hyperlink r:id="rId6">
        <w:r>
          <w:rPr>
            <w:color w:val="1155CC"/>
            <w:u w:val="single"/>
          </w:rPr>
          <w:t>http://www.aacu.org/value/index.cfm</w:t>
        </w:r>
      </w:hyperlink>
      <w:r>
        <w:t>.</w:t>
      </w:r>
    </w:p>
    <w:p w14:paraId="25E7AC2C" w14:textId="77777777" w:rsidR="00ED14E0" w:rsidRDefault="00ED14E0"/>
    <w:p w14:paraId="43C4D745" w14:textId="77777777" w:rsidR="00ED14E0" w:rsidRDefault="00000000">
      <w:r>
        <w:t xml:space="preserve">If you have questions about using the VALUE rubrics for educational </w:t>
      </w:r>
      <w:proofErr w:type="gramStart"/>
      <w:r>
        <w:t>purposes</w:t>
      </w:r>
      <w:proofErr w:type="gramEnd"/>
      <w:r>
        <w:t xml:space="preserve"> please email </w:t>
      </w:r>
      <w:hyperlink r:id="rId7">
        <w:r>
          <w:rPr>
            <w:color w:val="1155CC"/>
            <w:u w:val="single"/>
          </w:rPr>
          <w:t>value@aacu.org</w:t>
        </w:r>
      </w:hyperlink>
      <w:r>
        <w:t>).</w:t>
      </w:r>
    </w:p>
    <w:sectPr w:rsidR="00ED14E0">
      <w:headerReference w:type="default" r:id="rId8"/>
      <w:headerReference w:type="first" r:id="rId9"/>
      <w:footerReference w:type="first" r:id="rId10"/>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0DFA" w14:textId="77777777" w:rsidR="00E8400F" w:rsidRDefault="00E8400F">
      <w:pPr>
        <w:spacing w:line="240" w:lineRule="auto"/>
      </w:pPr>
      <w:r>
        <w:separator/>
      </w:r>
    </w:p>
  </w:endnote>
  <w:endnote w:type="continuationSeparator" w:id="0">
    <w:p w14:paraId="392A7FF7" w14:textId="77777777" w:rsidR="00E8400F" w:rsidRDefault="00E84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charset w:val="00"/>
    <w:family w:val="auto"/>
    <w:pitch w:val="variable"/>
    <w:sig w:usb0="E00002FF" w:usb1="020004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6A07" w14:textId="77777777" w:rsidR="00ED14E0" w:rsidRDefault="00ED14E0">
    <w:pPr>
      <w:rPr>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FCCA" w14:textId="77777777" w:rsidR="00E8400F" w:rsidRDefault="00E8400F">
      <w:pPr>
        <w:spacing w:line="240" w:lineRule="auto"/>
      </w:pPr>
      <w:r>
        <w:separator/>
      </w:r>
    </w:p>
  </w:footnote>
  <w:footnote w:type="continuationSeparator" w:id="0">
    <w:p w14:paraId="4A2D4586" w14:textId="77777777" w:rsidR="00E8400F" w:rsidRDefault="00E8400F">
      <w:pPr>
        <w:spacing w:line="240" w:lineRule="auto"/>
      </w:pPr>
      <w:r>
        <w:continuationSeparator/>
      </w:r>
    </w:p>
  </w:footnote>
  <w:footnote w:id="1">
    <w:p w14:paraId="0DCA3346" w14:textId="77777777" w:rsidR="00ED14E0" w:rsidRDefault="00000000">
      <w:pPr>
        <w:spacing w:line="240" w:lineRule="auto"/>
      </w:pPr>
      <w:r>
        <w:rPr>
          <w:vertAlign w:val="superscript"/>
        </w:rPr>
        <w:footnoteRef/>
      </w:r>
      <w:r>
        <w:t xml:space="preserve"> Student work or collection of work does not meet Benchmark performance.</w:t>
      </w:r>
    </w:p>
  </w:footnote>
  <w:footnote w:id="2">
    <w:p w14:paraId="211DB13D" w14:textId="77777777" w:rsidR="00ED14E0" w:rsidRDefault="00000000">
      <w:pPr>
        <w:spacing w:line="240" w:lineRule="auto"/>
      </w:pPr>
      <w:r>
        <w:rPr>
          <w:vertAlign w:val="superscript"/>
        </w:rPr>
        <w:footnoteRef/>
      </w:r>
      <w:r>
        <w:t xml:space="preserve"> Proficiency expected at 100-level</w:t>
      </w:r>
    </w:p>
  </w:footnote>
  <w:footnote w:id="3">
    <w:p w14:paraId="0B253C77" w14:textId="77777777" w:rsidR="00ED14E0" w:rsidRDefault="00000000">
      <w:pPr>
        <w:spacing w:line="240" w:lineRule="auto"/>
      </w:pPr>
      <w:r>
        <w:rPr>
          <w:vertAlign w:val="superscript"/>
        </w:rPr>
        <w:footnoteRef/>
      </w:r>
      <w:r>
        <w:t xml:space="preserve"> Student work or collection of work exceeds Capstone performance.</w:t>
      </w:r>
    </w:p>
  </w:footnote>
  <w:footnote w:id="4">
    <w:p w14:paraId="2E8D69C3" w14:textId="77777777" w:rsidR="00ED14E0" w:rsidRDefault="00000000">
      <w:pPr>
        <w:spacing w:line="240" w:lineRule="auto"/>
      </w:pPr>
      <w:r>
        <w:rPr>
          <w:vertAlign w:val="superscript"/>
        </w:rPr>
        <w:footnoteRef/>
      </w:r>
      <w:r>
        <w:t xml:space="preserve"> This rubric was created using the </w:t>
      </w:r>
      <w:r>
        <w:rPr>
          <w:i/>
        </w:rPr>
        <w:t>Association of American Colleges and Universities (AAC&amp;U) Ethical Reasoning VALUE Rubric</w:t>
      </w:r>
      <w:r>
        <w:t xml:space="preserve">. Retrieved from </w:t>
      </w:r>
      <w:hyperlink r:id="rId1">
        <w:r>
          <w:rPr>
            <w:color w:val="1155CC"/>
            <w:u w:val="single"/>
          </w:rPr>
          <w:t>https://www.aacu.org/value-rubrics</w:t>
        </w:r>
      </w:hyperlink>
    </w:p>
  </w:footnote>
  <w:footnote w:id="5">
    <w:p w14:paraId="021F3117" w14:textId="77777777" w:rsidR="00ED14E0" w:rsidRDefault="00000000">
      <w:pPr>
        <w:spacing w:line="240" w:lineRule="auto"/>
      </w:pPr>
      <w:r>
        <w:rPr>
          <w:vertAlign w:val="superscript"/>
        </w:rPr>
        <w:footnoteRef/>
      </w:r>
      <w:r>
        <w:t xml:space="preserve"> This rubric was created using the </w:t>
      </w:r>
      <w:r>
        <w:rPr>
          <w:i/>
        </w:rPr>
        <w:t>Association of American Colleges and Universities (AAC&amp;U) Integrative Learning VALUE Rubric</w:t>
      </w:r>
      <w:r>
        <w:t xml:space="preserve">. Retrieved from </w:t>
      </w:r>
      <w:hyperlink r:id="rId2">
        <w:r>
          <w:rPr>
            <w:color w:val="1155CC"/>
            <w:u w:val="single"/>
          </w:rPr>
          <w:t>https://www.aacu.org/value-rubrics</w:t>
        </w:r>
      </w:hyperlink>
    </w:p>
  </w:footnote>
  <w:footnote w:id="6">
    <w:p w14:paraId="01AAEB45" w14:textId="77777777" w:rsidR="00ED14E0" w:rsidRDefault="00000000">
      <w:pPr>
        <w:spacing w:line="240" w:lineRule="auto"/>
        <w:rPr>
          <w:vertAlign w:val="superscript"/>
        </w:rPr>
      </w:pPr>
      <w:r>
        <w:rPr>
          <w:vertAlign w:val="superscript"/>
        </w:rPr>
        <w:footnoteRef/>
      </w:r>
      <w:r>
        <w:rPr>
          <w:vertAlign w:val="superscript"/>
        </w:rPr>
        <w:t xml:space="preserve"> </w:t>
      </w:r>
      <w:r>
        <w:t xml:space="preserve">This rubric was created using the </w:t>
      </w:r>
      <w:r>
        <w:rPr>
          <w:i/>
        </w:rPr>
        <w:t>Association of American Colleges and Universities (AAC&amp;U) Intercultural Knowledge and Competence VALUE Rubric</w:t>
      </w:r>
      <w:r>
        <w:t xml:space="preserve">. Retrieved from </w:t>
      </w:r>
      <w:hyperlink r:id="rId3">
        <w:r>
          <w:rPr>
            <w:color w:val="1155CC"/>
            <w:u w:val="single"/>
          </w:rPr>
          <w:t>https://www.aacu.org/value-rubrics</w:t>
        </w:r>
      </w:hyperlink>
    </w:p>
  </w:footnote>
  <w:footnote w:id="7">
    <w:p w14:paraId="1510541E" w14:textId="77777777" w:rsidR="00ED14E0" w:rsidRDefault="00000000">
      <w:pPr>
        <w:spacing w:line="240" w:lineRule="auto"/>
      </w:pPr>
      <w:r>
        <w:rPr>
          <w:vertAlign w:val="superscript"/>
        </w:rPr>
        <w:footnoteRef/>
      </w:r>
      <w:r>
        <w:t xml:space="preserve"> Connects relevant experience and academic knowledge</w:t>
      </w:r>
    </w:p>
  </w:footnote>
  <w:footnote w:id="8">
    <w:p w14:paraId="2E77C728" w14:textId="77777777" w:rsidR="00ED14E0" w:rsidRDefault="00000000">
      <w:pPr>
        <w:spacing w:line="240" w:lineRule="auto"/>
      </w:pPr>
      <w:r>
        <w:rPr>
          <w:vertAlign w:val="superscript"/>
        </w:rPr>
        <w:footnoteRef/>
      </w:r>
      <w:r>
        <w:t xml:space="preserve"> This rubric was created using the </w:t>
      </w:r>
      <w:r>
        <w:rPr>
          <w:i/>
        </w:rPr>
        <w:t>Association of American Colleges and Universities (AAC&amp;U) Critical Thinking VALUE Rubric</w:t>
      </w:r>
      <w:r>
        <w:t xml:space="preserve">. Retrieved from </w:t>
      </w:r>
      <w:hyperlink r:id="rId4">
        <w:r>
          <w:rPr>
            <w:color w:val="1155CC"/>
            <w:u w:val="single"/>
          </w:rPr>
          <w:t>https://www.aacu.org/value-rubrics</w:t>
        </w:r>
      </w:hyperlink>
    </w:p>
  </w:footnote>
  <w:footnote w:id="9">
    <w:p w14:paraId="44200797" w14:textId="77777777" w:rsidR="00ED14E0" w:rsidRDefault="00000000">
      <w:pPr>
        <w:spacing w:line="240" w:lineRule="auto"/>
      </w:pPr>
      <w:r>
        <w:rPr>
          <w:vertAlign w:val="superscript"/>
        </w:rPr>
        <w:footnoteRef/>
      </w:r>
      <w:r>
        <w:t xml:space="preserve"> Includes considerations of audience, purpose, and the circumstances surrounding the writing task(s).</w:t>
      </w:r>
    </w:p>
  </w:footnote>
  <w:footnote w:id="10">
    <w:p w14:paraId="1BD00D1D" w14:textId="77777777" w:rsidR="00ED14E0" w:rsidRDefault="00000000">
      <w:pPr>
        <w:spacing w:line="240" w:lineRule="auto"/>
      </w:pPr>
      <w:r>
        <w:rPr>
          <w:vertAlign w:val="superscript"/>
        </w:rPr>
        <w:footnoteRef/>
      </w:r>
      <w:r>
        <w:t xml:space="preserve"> This rubric was created using the </w:t>
      </w:r>
      <w:r>
        <w:rPr>
          <w:i/>
        </w:rPr>
        <w:t>Association of American Colleges and Universities (AAC&amp;U) Written Communication VALUE Rubric</w:t>
      </w:r>
      <w:r>
        <w:t xml:space="preserve">. Retrieved from </w:t>
      </w:r>
      <w:hyperlink r:id="rId5">
        <w:r>
          <w:rPr>
            <w:color w:val="1155CC"/>
            <w:u w:val="single"/>
          </w:rPr>
          <w:t>https://www.aacu.org/value-rubrics</w:t>
        </w:r>
      </w:hyperlink>
    </w:p>
  </w:footnote>
  <w:footnote w:id="11">
    <w:p w14:paraId="1793E289" w14:textId="77777777" w:rsidR="00ED14E0" w:rsidRDefault="00000000">
      <w:pPr>
        <w:spacing w:line="240" w:lineRule="auto"/>
      </w:pPr>
      <w:r>
        <w:rPr>
          <w:vertAlign w:val="superscript"/>
        </w:rPr>
        <w:footnoteRef/>
      </w:r>
      <w:r>
        <w:t xml:space="preserve"> This rubric was created using the </w:t>
      </w:r>
      <w:r>
        <w:rPr>
          <w:i/>
        </w:rPr>
        <w:t>Association of American Colleges and Universities (AAC&amp;U) Information Literacy VALUE Rubric</w:t>
      </w:r>
      <w:r>
        <w:t xml:space="preserve">. Retrieved from </w:t>
      </w:r>
      <w:hyperlink r:id="rId6">
        <w:r>
          <w:rPr>
            <w:color w:val="1155CC"/>
            <w:u w:val="single"/>
          </w:rPr>
          <w:t>https://www.aacu.org/value-rubrics</w:t>
        </w:r>
      </w:hyperlink>
    </w:p>
  </w:footnote>
  <w:footnote w:id="12">
    <w:p w14:paraId="1F6662CF" w14:textId="77777777" w:rsidR="00ED14E0" w:rsidRDefault="00000000">
      <w:pPr>
        <w:spacing w:line="240" w:lineRule="auto"/>
      </w:pPr>
      <w:r>
        <w:rPr>
          <w:vertAlign w:val="superscript"/>
        </w:rPr>
        <w:footnoteRef/>
      </w:r>
      <w:r>
        <w:t xml:space="preserve">This rubric was created using the </w:t>
      </w:r>
      <w:r>
        <w:rPr>
          <w:i/>
        </w:rPr>
        <w:t>Association of American Colleges and Universities (AAC&amp;U) Foundations and Skills for Lifelong Learning VALUE Rubric</w:t>
      </w:r>
      <w:r>
        <w:t xml:space="preserve">. Retrieved from </w:t>
      </w:r>
      <w:hyperlink r:id="rId7">
        <w:r>
          <w:rPr>
            <w:color w:val="1155CC"/>
            <w:u w:val="single"/>
          </w:rPr>
          <w:t>https://www.aacu.org/value-rubrics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519B" w14:textId="77777777" w:rsidR="00ED14E0" w:rsidRDefault="00ED14E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CF59" w14:textId="77777777" w:rsidR="00ED14E0" w:rsidRDefault="00000000">
    <w:pPr>
      <w:pStyle w:val="Title"/>
      <w:jc w:val="center"/>
      <w:rPr>
        <w:vertAlign w:val="subscript"/>
      </w:rPr>
    </w:pPr>
    <w:bookmarkStart w:id="5" w:name="_gd8mhtj6btl6" w:colFirst="0" w:colLast="0"/>
    <w:bookmarkEnd w:id="5"/>
    <w:r>
      <w:t xml:space="preserve">First-Term Seminar Assessment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E0"/>
    <w:rsid w:val="005C7DAA"/>
    <w:rsid w:val="00E8400F"/>
    <w:rsid w:val="00ED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D287"/>
  <w15:docId w15:val="{D6433A63-D6E7-4891-BE62-2A1F2092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line="240" w:lineRule="auto"/>
      <w:outlineLvl w:val="1"/>
    </w:pPr>
    <w:rPr>
      <w:sz w:val="32"/>
      <w:szCs w:val="32"/>
    </w:rPr>
  </w:style>
  <w:style w:type="paragraph" w:styleId="Heading3">
    <w:name w:val="heading 3"/>
    <w:basedOn w:val="Normal"/>
    <w:next w:val="Normal"/>
    <w:uiPriority w:val="9"/>
    <w:unhideWhenUsed/>
    <w:qFormat/>
    <w:pPr>
      <w:keepNext/>
      <w:keepLines/>
      <w:spacing w:line="240" w:lineRule="auto"/>
      <w:jc w:val="center"/>
      <w:outlineLvl w:val="2"/>
    </w:pPr>
    <w:rPr>
      <w:color w:val="FFFFFF"/>
      <w:sz w:val="32"/>
      <w:szCs w:val="32"/>
      <w:u w:val="single"/>
    </w:rPr>
  </w:style>
  <w:style w:type="paragraph" w:styleId="Heading4">
    <w:name w:val="heading 4"/>
    <w:basedOn w:val="Normal"/>
    <w:next w:val="Normal"/>
    <w:uiPriority w:val="9"/>
    <w:semiHidden/>
    <w:unhideWhenUsed/>
    <w:qFormat/>
    <w:pPr>
      <w:keepNext/>
      <w:keepLines/>
      <w:spacing w:before="280" w:after="80"/>
      <w:outlineLvl w:val="3"/>
    </w:pPr>
    <w:rPr>
      <w:color w:val="434343"/>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jc w:val="center"/>
    </w:pPr>
    <w:rPr>
      <w:rFonts w:ascii="Montserrat" w:eastAsia="Montserrat" w:hAnsi="Montserrat" w:cs="Montserrat"/>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alue@aacu.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cu.org/value/index.cf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acu.org/value-rubrics" TargetMode="External"/><Relationship Id="rId7" Type="http://schemas.openxmlformats.org/officeDocument/2006/relationships/hyperlink" Target="https://www.aacu.org/value-rubrics" TargetMode="External"/><Relationship Id="rId2" Type="http://schemas.openxmlformats.org/officeDocument/2006/relationships/hyperlink" Target="https://www.aacu.org/value-rubrics" TargetMode="External"/><Relationship Id="rId1" Type="http://schemas.openxmlformats.org/officeDocument/2006/relationships/hyperlink" Target="https://www.aacu.org/value-rubrics" TargetMode="External"/><Relationship Id="rId6" Type="http://schemas.openxmlformats.org/officeDocument/2006/relationships/hyperlink" Target="https://www.aacu.org/value-rubrics" TargetMode="External"/><Relationship Id="rId5" Type="http://schemas.openxmlformats.org/officeDocument/2006/relationships/hyperlink" Target="https://www.aacu.org/value-rubrics" TargetMode="External"/><Relationship Id="rId4" Type="http://schemas.openxmlformats.org/officeDocument/2006/relationships/hyperlink" Target="https://www.aacu.org/value-rub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8518</Characters>
  <Application>Microsoft Office Word</Application>
  <DocSecurity>0</DocSecurity>
  <Lines>123</Lines>
  <Paragraphs>52</Paragraphs>
  <ScaleCrop>false</ScaleCrop>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Ruble</dc:creator>
  <cp:lastModifiedBy>Sarah</cp:lastModifiedBy>
  <cp:revision>2</cp:revision>
  <dcterms:created xsi:type="dcterms:W3CDTF">2022-07-30T14:45:00Z</dcterms:created>
  <dcterms:modified xsi:type="dcterms:W3CDTF">2022-07-30T14:45:00Z</dcterms:modified>
</cp:coreProperties>
</file>